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lang w:eastAsia="zh-CN"/>
        </w:rPr>
      </w:pPr>
      <w:r>
        <w:rPr>
          <w:rFonts w:hint="eastAsia" w:ascii="黑体" w:hAnsi="黑体" w:eastAsia="黑体" w:cs="黑体"/>
          <w:b/>
          <w:bCs/>
          <w:color w:val="auto"/>
          <w:sz w:val="44"/>
          <w:szCs w:val="44"/>
          <w:highlight w:val="none"/>
          <w:lang w:eastAsia="zh-CN"/>
        </w:rPr>
        <w:t xml:space="preserve">盐城市中医院便携式彩色多普勒超声诊断系统</w:t>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采购项目</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项目编号：</w:t>
      </w:r>
      <w:r>
        <w:rPr>
          <w:rFonts w:hint="eastAsia" w:ascii="黑体" w:hAnsi="黑体" w:eastAsia="黑体" w:cs="黑体"/>
          <w:b/>
          <w:bCs/>
          <w:color w:val="auto"/>
          <w:sz w:val="32"/>
          <w:szCs w:val="32"/>
          <w:highlight w:val="none"/>
          <w:lang w:val="en-US" w:eastAsia="zh-CN"/>
        </w:rPr>
        <w:t xml:space="preserve">JSZC-320900-JSHY-G2025-0507</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1009-2541HOLLY79D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5</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12</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44"/>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845"/>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845"/>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845"/>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29</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35</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39</w:t>
      </w:r>
      <w:r/>
    </w:p>
    <w:p>
      <w:pPr>
        <w:pStyle w:val="846"/>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rPr>
          <w:rFonts w:hint="eastAsia"/>
          <w:color w:val="auto"/>
          <w:highlight w:val="none"/>
        </w:rPr>
      </w:pPr>
      <w:r>
        <w:rPr>
          <w:rFonts w:hint="eastAsia"/>
          <w:color w:val="auto"/>
          <w:highlight w:val="none"/>
        </w:rPr>
        <w:br w:type="page" w:clear="all"/>
      </w:r>
      <w:r/>
    </w:p>
    <w:p>
      <w:pPr>
        <w:jc w:val="left"/>
        <w:spacing w:line="360" w:lineRule="auto"/>
        <w:tabs>
          <w:tab w:val="left" w:pos="5655" w:leader="none"/>
        </w:tabs>
        <w:rPr>
          <w:rFonts w:hint="eastAsia"/>
          <w:color w:val="auto"/>
          <w:highlight w:val="none"/>
        </w:rPr>
      </w:pPr>
      <w:r>
        <w:rPr>
          <w:rFonts w:hint="eastAsia"/>
          <w:color w:val="auto"/>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14268"/>
      <w:r/>
      <w:bookmarkStart w:id="3" w:name="_Toc514054470"/>
      <w:r/>
      <w:bookmarkStart w:id="140" w:name="_GoBack"/>
      <w:r/>
      <w:bookmarkEnd w:id="140"/>
      <w:r>
        <w:rPr>
          <w:rFonts w:hint="eastAsia"/>
          <w:b/>
          <w:color w:val="auto"/>
          <w:sz w:val="44"/>
          <w:szCs w:val="44"/>
          <w:highlight w:val="none"/>
        </w:rPr>
        <w:t xml:space="preserve">第一部分  招标公告</w:t>
      </w:r>
      <w:bookmarkEnd w:id="2"/>
      <w:r/>
      <w:bookmarkEnd w:id="3"/>
      <w:r/>
      <w:r/>
    </w:p>
    <w:tbl>
      <w:tblPr>
        <w:tblStyle w:val="671"/>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盐城市中医院便携式彩色多普勒超声诊断系统采购项目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分（北京时间）前递交投标文件。</w:t>
            </w:r>
            <w:r/>
          </w:p>
        </w:tc>
      </w:tr>
    </w:tbl>
    <w:p>
      <w:pPr>
        <w:pStyle w:val="847"/>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47"/>
        <w:ind w:firstLine="72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JSZC-320900-JSHY-G2025-0507</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盐城市中医院便携式彩色多普勒超声诊断系统采购项目</w:t>
      </w:r>
      <w:r/>
    </w:p>
    <w:p>
      <w:pPr>
        <w:pStyle w:val="847"/>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个标段）</w:t>
      </w:r>
      <w:r/>
    </w:p>
    <w:tbl>
      <w:tblPr>
        <w:tblStyle w:val="671"/>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2508"/>
        <w:gridCol w:w="948"/>
        <w:gridCol w:w="1520"/>
        <w:gridCol w:w="1524"/>
        <w:gridCol w:w="1404"/>
      </w:tblGrid>
      <w:tr>
        <w:trPr>
          <w:jc w:val="center"/>
          <w:trHeight w:val="0"/>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5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9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w:t>
            </w:r>
            <w:r/>
          </w:p>
        </w:tc>
        <w:tc>
          <w:tcPr>
            <w:shd w:val="clear" w:color="auto" w:fill="auto"/>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是否接受进口产品</w:t>
            </w:r>
            <w:r/>
          </w:p>
        </w:tc>
      </w:tr>
      <w:tr>
        <w:trPr>
          <w:jc w:val="center"/>
          <w:trHeight w:val="573"/>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eastAsia="zh-CN"/>
              </w:rPr>
              <w:t xml:space="preserve">便携式彩色多普勒超声诊断系统</w:t>
            </w:r>
            <w:r/>
          </w:p>
        </w:tc>
        <w:tc>
          <w:tcPr>
            <w:shd w:val="clear" w:color="auto" w:fill="auto"/>
            <w:tcW w:w="948" w:type="dxa"/>
            <w:vAlign w:val="center"/>
            <w:textDirection w:val="lrTb"/>
            <w:noWrap/>
          </w:tcPr>
          <w:p>
            <w:pPr>
              <w:jc w:val="center"/>
              <w:rPr>
                <w:rFonts w:hint="eastAsia" w:ascii="宋体" w:hAnsi="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1</w:t>
            </w:r>
            <w:r>
              <w:rPr>
                <w:rFonts w:hint="eastAsia" w:ascii="宋体" w:hAnsi="宋体" w:cs="宋体"/>
                <w:color w:val="auto"/>
                <w:sz w:val="24"/>
                <w:szCs w:val="24"/>
                <w:highlight w:val="none"/>
                <w:vertAlign w:val="baseline"/>
                <w:lang w:val="en-US" w:eastAsia="zh-CN" w:bidi="ar"/>
              </w:rPr>
              <w:t xml:space="preserve">台</w:t>
            </w:r>
            <w:r/>
          </w:p>
        </w:tc>
        <w:tc>
          <w:tcPr>
            <w:shd w:val="clear" w:color="auto" w:fill="auto"/>
            <w:tcW w:w="1520" w:type="dxa"/>
            <w:vAlign w:val="center"/>
            <w:textDirection w:val="lrTb"/>
            <w:noWrap/>
          </w:tcPr>
          <w:p>
            <w:pPr>
              <w:jc w:val="center"/>
              <w:spacing w:line="24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80</w:t>
            </w:r>
            <w:r>
              <w:rPr>
                <w:rFonts w:hint="eastAsia" w:ascii="宋体" w:hAnsi="宋体" w:cs="宋体"/>
                <w:color w:val="auto"/>
                <w:sz w:val="24"/>
                <w:szCs w:val="24"/>
                <w:highlight w:val="none"/>
                <w:lang w:val="en-US" w:eastAsia="zh-CN" w:bidi="ar"/>
              </w:rPr>
              <w:t xml:space="preserve">万元</w:t>
            </w:r>
            <w:r/>
          </w:p>
        </w:tc>
        <w:tc>
          <w:tcPr>
            <w:shd w:val="clear" w:color="auto" w:fill="auto"/>
            <w:tcW w:w="1524" w:type="dxa"/>
            <w:vAlign w:val="center"/>
            <w:textDirection w:val="lrTb"/>
            <w:noWrap/>
          </w:tcPr>
          <w:p>
            <w:pPr>
              <w:jc w:val="center"/>
              <w:spacing w:line="24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45</w:t>
            </w:r>
            <w:r>
              <w:rPr>
                <w:rFonts w:hint="eastAsia" w:ascii="宋体" w:hAnsi="宋体" w:cs="宋体"/>
                <w:color w:val="auto"/>
                <w:sz w:val="24"/>
                <w:szCs w:val="24"/>
                <w:highlight w:val="none"/>
                <w:lang w:val="en-US" w:eastAsia="zh-CN" w:bidi="ar"/>
              </w:rPr>
              <w:t xml:space="preserve">万元</w:t>
            </w:r>
            <w:r/>
          </w:p>
        </w:tc>
        <w:tc>
          <w:tcPr>
            <w:shd w:val="clear" w:color="auto" w:fill="auto"/>
            <w:tcW w:w="1404"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否</w:t>
            </w:r>
            <w:r/>
          </w:p>
        </w:tc>
      </w:tr>
    </w:tbl>
    <w:p>
      <w:pPr>
        <w:pStyle w:val="847"/>
        <w:ind w:left="0" w:firstLine="390"/>
        <w:spacing w:line="360" w:lineRule="auto"/>
        <w:tabs>
          <w:tab w:val="left" w:pos="1134" w:leader="none"/>
        </w:tabs>
        <w:rPr>
          <w:rFonts w:hint="eastAsia" w:ascii="宋体" w:hAnsi="宋体" w:cs="宋体"/>
          <w:color w:val="auto"/>
          <w:sz w:val="13"/>
          <w:szCs w:val="13"/>
          <w:highlight w:val="none"/>
        </w:rPr>
      </w:pPr>
      <w:r>
        <w:rPr>
          <w:rFonts w:hint="eastAsia" w:ascii="宋体" w:hAnsi="宋体" w:cs="宋体"/>
          <w:color w:val="auto"/>
          <w:sz w:val="13"/>
          <w:szCs w:val="13"/>
          <w:highlight w:val="none"/>
        </w:rPr>
      </w:r>
      <w:r/>
    </w:p>
    <w:p>
      <w:pPr>
        <w:pStyle w:val="847"/>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47"/>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47"/>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48"/>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2）具有良好的商业信誉和健全的财务会计制度（提供2023年度</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rPr>
        <w:t xml:space="preserve">财务报告，至少包含资产负债表、利润表，或投标截止时间前六个月内银行出具的资信证明，成立不满一年的无须提供）。</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提供2024年8月至今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44"/>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44"/>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48"/>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48"/>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848"/>
        <w:ind w:firstLine="1060"/>
        <w:spacing w:line="360" w:lineRule="auto"/>
        <w:rPr>
          <w:rFonts w:hint="default" w:ascii="宋体" w:hAnsi="宋体" w:eastAsia="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rPr>
        <w:t xml:space="preserve">2）提供所投产品有效的医疗器械注册证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848"/>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49"/>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49"/>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（北京时间）</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849"/>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49"/>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9"/>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 潜在投标人访问“苏采云”系统方法：江苏省政府采购网首页-“苏采云”链接。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 采购文件（后缀名为“.kedt”）、供应商操作手册及政府采购客户端 工具可通过“苏采云”系统相应链接进行下载。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 采购代理机构将数据电文形式的采购文件加载至“苏采云”系统，供潜在供应商下载或者查阅。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47"/>
        <w:ind w:left="0" w:firstLine="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7"/>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850"/>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15189217050                        </w:t>
      </w:r>
      <w:bookmarkStart w:id="8" w:name="_Toc25617"/>
      <w:r/>
      <w:bookmarkEnd w:id="8"/>
      <w:r/>
      <w:r/>
    </w:p>
    <w:p>
      <w:pPr>
        <w:jc w:val="center"/>
        <w:spacing w:line="360" w:lineRule="auto"/>
        <w:rPr>
          <w:rFonts w:hint="eastAsia"/>
          <w:b/>
          <w:color w:val="auto"/>
          <w:sz w:val="44"/>
          <w:szCs w:val="44"/>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851"/>
        <w:jc w:val="center"/>
        <w:keepLines w:val="0"/>
        <w:keepNext w:val="0"/>
        <w:spacing w:before="0" w:after="0" w:line="360" w:lineRule="auto"/>
        <w:rPr>
          <w:rFonts w:hint="eastAsia"/>
          <w:color w:val="auto"/>
          <w:highlight w:val="none"/>
        </w:rPr>
      </w:pPr>
      <w:r/>
      <w:bookmarkStart w:id="10" w:name="_Toc514054471"/>
      <w:r/>
      <w:bookmarkStart w:id="11" w:name="_Toc17705"/>
      <w:r>
        <w:rPr>
          <w:rFonts w:hint="eastAsia"/>
          <w:color w:val="auto"/>
          <w:highlight w:val="none"/>
        </w:rPr>
        <w:t xml:space="preserve">投标人须知前附表</w:t>
      </w:r>
      <w:bookmarkEnd w:id="10"/>
      <w:r/>
      <w:bookmarkEnd w:id="11"/>
      <w:r/>
      <w:r/>
    </w:p>
    <w:tbl>
      <w:tblPr>
        <w:tblStyle w:val="671"/>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52"/>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52"/>
        <w:spacing w:line="360" w:lineRule="auto"/>
        <w:rPr>
          <w:rFonts w:hint="eastAsia" w:ascii="宋体" w:hAnsi="宋体" w:eastAsia="宋体" w:cs="宋体"/>
          <w:color w:val="auto"/>
          <w:highlight w:val="none"/>
        </w:rPr>
        <w:outlineLvl w:val="1"/>
      </w:pPr>
      <w:r/>
      <w:bookmarkStart w:id="13" w:name="_Toc514054473"/>
      <w:r/>
      <w:bookmarkStart w:id="14" w:name="_Toc21335"/>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52"/>
        <w:spacing w:line="360" w:lineRule="auto"/>
        <w:rPr>
          <w:rFonts w:hint="eastAsia" w:ascii="宋体" w:hAnsi="宋体" w:eastAsia="宋体" w:cs="宋体"/>
          <w:color w:val="auto"/>
          <w:highlight w:val="none"/>
        </w:rPr>
        <w:outlineLvl w:val="1"/>
      </w:pPr>
      <w:r/>
      <w:bookmarkStart w:id="17" w:name="_Toc514054474"/>
      <w:r/>
      <w:bookmarkStart w:id="18" w:name="_Toc26908"/>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w:t>
      </w:r>
      <w:r>
        <w:rPr>
          <w:rFonts w:hint="eastAsia" w:ascii="宋体" w:hAnsi="宋体" w:cs="宋体"/>
          <w:color w:val="auto"/>
          <w:sz w:val="24"/>
          <w:szCs w:val="22"/>
          <w:highlight w:val="none"/>
        </w:rPr>
        <w:t xml:space="preserve">2023年度</w:t>
      </w:r>
      <w:r>
        <w:rPr>
          <w:rFonts w:hint="eastAsia" w:ascii="宋体" w:hAnsi="宋体" w:cs="宋体"/>
          <w:color w:val="auto"/>
          <w:sz w:val="24"/>
          <w:szCs w:val="22"/>
          <w:highlight w:val="none"/>
          <w:lang w:val="en-US" w:eastAsia="zh-CN"/>
        </w:rPr>
        <w:t xml:space="preserve">或2024年度</w:t>
      </w:r>
      <w:r>
        <w:rPr>
          <w:rFonts w:hint="eastAsia" w:ascii="宋体" w:hAnsi="宋体" w:cs="宋体"/>
          <w:color w:val="auto"/>
          <w:sz w:val="24"/>
          <w:highlight w:val="none"/>
        </w:rPr>
        <w:t xml:space="preserve">财务报告，至少包含资产负债表、利润表，或投标截止时间前六个月内银行出具的资信证明，成立不满一年的无须提供）；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提供2024年8月至今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852"/>
        <w:spacing w:line="360" w:lineRule="auto"/>
        <w:rPr>
          <w:rFonts w:hint="eastAsia" w:ascii="宋体" w:hAnsi="宋体" w:eastAsia="宋体" w:cs="宋体"/>
          <w:color w:val="auto"/>
          <w:highlight w:val="none"/>
        </w:rPr>
        <w:outlineLvl w:val="1"/>
      </w:pPr>
      <w:r/>
      <w:bookmarkStart w:id="25" w:name="_Toc514054475"/>
      <w:r/>
      <w:bookmarkStart w:id="26" w:name="_Toc26211"/>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16938542"/>
      <w:r/>
      <w:bookmarkEnd w:id="27"/>
      <w:r/>
      <w:bookmarkStart w:id="28" w:name="_Toc20823298"/>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20823300"/>
      <w:r/>
      <w:bookmarkStart w:id="31" w:name="_Toc513029228"/>
      <w:r/>
      <w:bookmarkStart w:id="32" w:name="_Toc16938544"/>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52"/>
        <w:spacing w:line="360" w:lineRule="auto"/>
        <w:rPr>
          <w:rFonts w:hint="eastAsia" w:ascii="宋体" w:hAnsi="宋体" w:eastAsia="宋体" w:cs="宋体"/>
          <w:color w:val="auto"/>
          <w:highlight w:val="none"/>
        </w:rPr>
        <w:outlineLvl w:val="1"/>
      </w:pPr>
      <w:r/>
      <w:bookmarkStart w:id="33" w:name="_Toc514054476"/>
      <w:r/>
      <w:bookmarkStart w:id="34" w:name="_Toc11452"/>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52"/>
        <w:spacing w:line="360" w:lineRule="auto"/>
        <w:rPr>
          <w:rFonts w:hint="eastAsia" w:ascii="宋体" w:hAnsi="宋体" w:eastAsia="宋体" w:cs="宋体"/>
          <w:color w:val="auto"/>
          <w:highlight w:val="none"/>
        </w:rPr>
        <w:outlineLvl w:val="1"/>
      </w:pPr>
      <w:r/>
      <w:bookmarkStart w:id="36" w:name="_Toc514054477"/>
      <w:r/>
      <w:bookmarkStart w:id="37" w:name="_Toc29013"/>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3"/>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未按要求提供相关材料的，不享受相关政策。</w:t>
      </w:r>
      <w:r/>
    </w:p>
    <w:p>
      <w:pPr>
        <w:pStyle w:val="852"/>
        <w:spacing w:line="360" w:lineRule="auto"/>
        <w:rPr>
          <w:rFonts w:hint="eastAsia" w:ascii="宋体" w:hAnsi="宋体" w:eastAsia="宋体" w:cs="宋体"/>
          <w:color w:val="auto"/>
          <w:highlight w:val="none"/>
        </w:rPr>
        <w:outlineLvl w:val="1"/>
      </w:pPr>
      <w:r/>
      <w:bookmarkStart w:id="43" w:name="_Toc81493168"/>
      <w:r/>
      <w:bookmarkStart w:id="44" w:name="_Toc514054478"/>
      <w:r/>
      <w:bookmarkStart w:id="45" w:name="_Toc9744"/>
      <w:r>
        <w:rPr>
          <w:rFonts w:hint="eastAsia" w:ascii="宋体" w:hAnsi="宋体" w:eastAsia="宋体" w:cs="宋体"/>
          <w:color w:val="auto"/>
          <w:highlight w:val="none"/>
        </w:rPr>
        <w:t xml:space="preserve">七、中标及合同签订</w:t>
      </w:r>
      <w:bookmarkEnd w:id="43"/>
      <w:r/>
      <w:bookmarkEnd w:id="44"/>
      <w:r/>
      <w:bookmarkEnd w:id="4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7" w:name="EB3094b551b51c42ca93e0255d679fb06f"/>
      <w:r>
        <w:rPr>
          <w:rFonts w:hint="eastAsia" w:ascii="宋体" w:hAnsi="宋体" w:cs="宋体"/>
          <w:color w:val="auto"/>
          <w:sz w:val="24"/>
          <w:szCs w:val="24"/>
          <w:highlight w:val="none"/>
        </w:rPr>
        <w:t xml:space="preserve">见前附表。 </w:t>
      </w:r>
      <w:bookmarkEnd w:id="47"/>
      <w:r/>
      <w:bookmarkStart w:id="48" w:name="EB0d6067c6e00d44b1ad5603550c455e87"/>
      <w:r>
        <w:rPr>
          <w:rFonts w:hint="eastAsia" w:ascii="宋体" w:hAnsi="宋体" w:cs="宋体"/>
          <w:color w:val="auto"/>
          <w:sz w:val="24"/>
          <w:szCs w:val="24"/>
          <w:highlight w:val="none"/>
        </w:rPr>
        <w:t xml:space="preserve"> </w:t>
      </w:r>
      <w:bookmarkEnd w:id="48"/>
      <w:r/>
      <w:r/>
    </w:p>
    <w:p>
      <w:pPr>
        <w:pStyle w:val="852"/>
        <w:spacing w:line="360" w:lineRule="auto"/>
        <w:rPr>
          <w:rFonts w:hint="eastAsia" w:ascii="宋体" w:hAnsi="宋体" w:eastAsia="宋体" w:cs="宋体"/>
          <w:color w:val="auto"/>
          <w:highlight w:val="none"/>
        </w:rPr>
        <w:outlineLvl w:val="1"/>
      </w:pPr>
      <w:r/>
      <w:bookmarkStart w:id="49" w:name="_Toc81493169"/>
      <w:r/>
      <w:bookmarkStart w:id="50" w:name="_Toc514054479"/>
      <w:r/>
      <w:bookmarkStart w:id="51" w:name="_Toc25599"/>
      <w:r>
        <w:rPr>
          <w:rFonts w:hint="eastAsia" w:ascii="宋体" w:hAnsi="宋体" w:eastAsia="宋体" w:cs="宋体"/>
          <w:color w:val="auto"/>
          <w:highlight w:val="none"/>
        </w:rPr>
        <w:t xml:space="preserve">八、验收及付款</w:t>
      </w:r>
      <w:bookmarkEnd w:id="49"/>
      <w:r/>
      <w:bookmarkEnd w:id="50"/>
      <w:r/>
      <w:bookmarkEnd w:id="5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2" w:name="EBbbb2492ed6b84c9193a6bb6f72a512f3"/>
      <w:r>
        <w:rPr>
          <w:rFonts w:hint="eastAsia" w:ascii="宋体" w:hAnsi="宋体" w:cs="宋体"/>
          <w:color w:val="auto"/>
          <w:sz w:val="24"/>
          <w:highlight w:val="none"/>
        </w:rPr>
        <w:t xml:space="preserve">35.1由采购人组织验收，中标人配合。</w:t>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本项目落实预付款制度，合同签订后，采购人自收到发票后10个工作日内，支付合同金额的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3"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3"/>
      <w:r>
        <w:rPr>
          <w:rFonts w:hint="eastAsia" w:ascii="宋体" w:hAnsi="宋体" w:cs="宋体"/>
          <w:color w:val="auto"/>
          <w:sz w:val="24"/>
          <w:highlight w:val="none"/>
        </w:rPr>
        <w:t xml:space="preserve"> 采购人按招标文件要求办理采购款支付手续。</w:t>
      </w:r>
      <w:r/>
    </w:p>
    <w:p>
      <w:pPr>
        <w:pStyle w:val="852"/>
        <w:spacing w:line="360" w:lineRule="auto"/>
        <w:rPr>
          <w:rFonts w:hint="eastAsia" w:ascii="宋体" w:hAnsi="宋体" w:eastAsia="宋体" w:cs="宋体"/>
          <w:color w:val="auto"/>
          <w:highlight w:val="none"/>
        </w:rPr>
        <w:outlineLvl w:val="1"/>
      </w:pPr>
      <w:r/>
      <w:bookmarkStart w:id="54" w:name="_Toc514054480"/>
      <w:r/>
      <w:bookmarkStart w:id="55" w:name="_Toc81493170"/>
      <w:r/>
      <w:bookmarkStart w:id="56" w:name="_Toc10945"/>
      <w:r>
        <w:rPr>
          <w:rFonts w:hint="eastAsia" w:ascii="宋体" w:hAnsi="宋体" w:eastAsia="宋体" w:cs="宋体"/>
          <w:color w:val="auto"/>
          <w:highlight w:val="none"/>
        </w:rPr>
        <w:t xml:space="preserve">九、质疑与投诉</w:t>
      </w:r>
      <w:bookmarkEnd w:id="54"/>
      <w:r/>
      <w:bookmarkEnd w:id="55"/>
      <w:r/>
      <w:bookmarkEnd w:id="56"/>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b/>
          <w:color w:val="auto"/>
          <w:sz w:val="44"/>
          <w:szCs w:val="44"/>
          <w:highlight w:val="none"/>
        </w:rPr>
      </w:pPr>
      <w:r>
        <w:rPr>
          <w:rFonts w:hint="eastAsia"/>
          <w:b/>
          <w:color w:val="auto"/>
          <w:sz w:val="44"/>
          <w:szCs w:val="44"/>
          <w:highlight w:val="none"/>
        </w:rPr>
        <w:br w:type="page" w:clear="all"/>
      </w:r>
      <w:bookmarkStart w:id="57" w:name="EB4d341233595e4bf8ad7006b4bd78d974"/>
      <w:r/>
      <w:bookmarkEnd w:id="57"/>
      <w:r/>
      <w:bookmarkStart w:id="58" w:name="_Toc22015"/>
      <w:r>
        <w:rPr>
          <w:rFonts w:hint="eastAsia"/>
          <w:b/>
          <w:color w:val="auto"/>
          <w:sz w:val="44"/>
          <w:szCs w:val="44"/>
          <w:highlight w:val="none"/>
        </w:rPr>
        <w:t xml:space="preserve">第三部分  </w:t>
      </w:r>
      <w:bookmarkEnd w:id="58"/>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59" w:name="_Toc4647"/>
      <w:r/>
      <w:bookmarkStart w:id="60" w:name="_Toc24217_WPSOffice_Level2"/>
      <w:r>
        <w:rPr>
          <w:rFonts w:hint="eastAsia"/>
          <w:b/>
          <w:color w:val="auto"/>
          <w:sz w:val="32"/>
          <w:szCs w:val="32"/>
          <w:highlight w:val="none"/>
        </w:rPr>
        <w:t xml:space="preserve">一、资格审查</w:t>
      </w:r>
      <w:bookmarkEnd w:id="59"/>
      <w:r/>
      <w:bookmarkEnd w:id="60"/>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7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1"/>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评标结果。评标委员会按照本办法规定推荐中标候选人，并形成评标报告。</w:t>
      </w:r>
      <w:r/>
    </w:p>
    <w:p>
      <w:pPr>
        <w:numPr>
          <w:ilvl w:val="0"/>
          <w:numId w:val="0"/>
        </w:numPr>
        <w:ind w:firstLine="0"/>
        <w:keepLines w:val="0"/>
        <w:keepNext w:val="0"/>
        <w:pageBreakBefore w:val="0"/>
        <w:spacing w:line="360" w:lineRule="auto"/>
        <w:widowControl w:val="off"/>
        <w:rPr>
          <w:rFonts w:hint="eastAsia" w:ascii="宋体" w:hAnsi="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r>
      <w:r/>
    </w:p>
    <w:p>
      <w:pPr>
        <w:numPr>
          <w:ilvl w:val="0"/>
          <w:numId w:val="0"/>
        </w:numPr>
        <w:ind w:right="0"/>
        <w:spacing w:line="360" w:lineRule="auto"/>
        <w:rPr>
          <w:rFonts w:hint="eastAsia" w:ascii="宋体" w:hAnsi="宋体" w:cs="宋体"/>
          <w:b/>
          <w:bCs/>
          <w:color w:val="auto"/>
          <w:sz w:val="24"/>
          <w:highlight w:val="none"/>
          <w:lang w:val="en-US" w:eastAsia="zh-CN"/>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tbl>
      <w:tblPr>
        <w:tblStyle w:val="67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4"/>
        <w:gridCol w:w="7880"/>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rPr>
                <w:rFonts w:hint="eastAsia" w:ascii="宋体" w:hAnsi="宋体" w:cs="宋体"/>
                <w:i w:val="0"/>
                <w:iCs w:val="0"/>
                <w:color w:val="auto"/>
                <w:sz w:val="24"/>
                <w:szCs w:val="24"/>
                <w:highlight w:val="none"/>
                <w:u w:val="none"/>
                <w:lang w:val="en-US" w:eastAsia="zh-CN" w:bidi="ar"/>
              </w:rPr>
              <w:t xml:space="preserve">52</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投标人所投设备完全响应招标文件第四章第</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技术参数要求</w:t>
            </w:r>
            <w:r>
              <w:rPr>
                <w:rFonts w:hint="eastAsia" w:ascii="宋体" w:hAnsi="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项），响应招标文件</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cs="宋体"/>
                <w:color w:val="auto"/>
                <w:sz w:val="24"/>
                <w:szCs w:val="24"/>
                <w:highlight w:val="none"/>
                <w:lang w:val="en-US" w:eastAsia="zh-CN"/>
              </w:rPr>
              <w:t xml:space="preserve">加2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最高得8分；</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非▲号技术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cs="宋体"/>
                <w:color w:val="auto"/>
                <w:sz w:val="24"/>
                <w:szCs w:val="24"/>
                <w:highlight w:val="none"/>
                <w:lang w:val="en-US" w:eastAsia="zh-CN"/>
              </w:rPr>
              <w:t xml:space="preserve">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44</w:t>
            </w:r>
            <w:r>
              <w:rPr>
                <w:rFonts w:hint="eastAsia" w:ascii="宋体" w:hAnsi="宋体" w:cs="宋体"/>
                <w:color w:val="auto"/>
                <w:sz w:val="24"/>
                <w:szCs w:val="24"/>
                <w:highlight w:val="none"/>
                <w:lang w:val="en-US" w:eastAsia="zh-CN"/>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52</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 提供自2022年1月1日（含）（以合同签订时间为准）以来类似项目的业绩合同复印件，并加盖投标人公章，有1项得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分。（投标时须提供合同复印件加盖公章</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合同要素至少包含合同双方名称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货物名称、品牌型号及合同签订时间（2022年1月1日起，含），合同要素不完整或者内容不清晰无法辨认或提供不全</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不得分）。如未按要求提供，不得分。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年基础上，每增加1年免费质量保修期的加</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分。免费质量保修期间产生的所有保修相关费用（</w:t>
            </w:r>
            <w:r>
              <w:rPr>
                <w:rFonts w:hint="eastAsia" w:ascii="宋体" w:hAnsi="宋体" w:cs="宋体"/>
                <w:i w:val="0"/>
                <w:iCs w:val="0"/>
                <w:color w:val="auto"/>
                <w:sz w:val="24"/>
                <w:szCs w:val="24"/>
                <w:highlight w:val="none"/>
                <w:u w:val="none"/>
                <w:lang w:val="en-US" w:eastAsia="zh-CN" w:bidi="ar"/>
              </w:rPr>
              <w:t xml:space="preserve">包含</w:t>
            </w:r>
            <w:r>
              <w:rPr>
                <w:rFonts w:hint="eastAsia" w:ascii="宋体" w:hAnsi="宋体" w:eastAsia="宋体" w:cs="宋体"/>
                <w:i w:val="0"/>
                <w:iCs w:val="0"/>
                <w:color w:val="auto"/>
                <w:sz w:val="24"/>
                <w:szCs w:val="24"/>
                <w:highlight w:val="none"/>
                <w:u w:val="none"/>
                <w:lang w:val="en-US" w:eastAsia="zh-CN" w:bidi="ar"/>
              </w:rPr>
              <w:t xml:space="preserve">人工费、备品备件、耗材、服务费、税金以及保修期间涉及到的其他一切费用</w:t>
            </w:r>
            <w:r>
              <w:rPr>
                <w:rFonts w:hint="eastAsia" w:ascii="宋体" w:hAnsi="宋体" w:cs="宋体"/>
                <w:i w:val="0"/>
                <w:iCs w:val="0"/>
                <w:color w:val="auto"/>
                <w:sz w:val="24"/>
                <w:szCs w:val="24"/>
                <w:highlight w:val="none"/>
                <w:u w:val="none"/>
                <w:lang w:val="en-US" w:eastAsia="zh-CN" w:bidi="ar"/>
              </w:rPr>
              <w:t xml:space="preserve">等</w:t>
            </w:r>
            <w:r>
              <w:rPr>
                <w:rFonts w:hint="eastAsia" w:ascii="宋体" w:hAnsi="宋体" w:eastAsia="宋体" w:cs="宋体"/>
                <w:i w:val="0"/>
                <w:iCs w:val="0"/>
                <w:color w:val="auto"/>
                <w:sz w:val="24"/>
                <w:szCs w:val="24"/>
                <w:highlight w:val="none"/>
                <w:u w:val="none"/>
                <w:lang w:val="en-US" w:eastAsia="zh-CN" w:bidi="ar"/>
              </w:rPr>
              <w:t xml:space="preserve">）全部由投标人承担。（以投标人投标时提供的承诺函（格式自拟）为准，未提供的不得分）。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投标人根据本项目第四部分中“六、人员配备”要求，配备丰富的管理及专业实施人员</w:t>
            </w:r>
            <w:r>
              <w:rPr>
                <w:rFonts w:hint="eastAsia" w:ascii="宋体" w:hAnsi="宋体" w:cs="宋体"/>
                <w:i w:val="0"/>
                <w:iCs w:val="0"/>
                <w:color w:val="auto"/>
                <w:sz w:val="24"/>
                <w:szCs w:val="24"/>
                <w:highlight w:val="none"/>
                <w:u w:val="none"/>
                <w:lang w:val="en-US" w:eastAsia="zh-CN" w:bidi="ar"/>
              </w:rPr>
              <w:t xml:space="preserve">团队，至少包括</w:t>
            </w:r>
            <w:r>
              <w:rPr>
                <w:rFonts w:hint="eastAsia" w:ascii="宋体" w:hAnsi="宋体" w:eastAsia="宋体" w:cs="宋体"/>
                <w:i w:val="0"/>
                <w:iCs w:val="0"/>
                <w:color w:val="auto"/>
                <w:sz w:val="24"/>
                <w:szCs w:val="24"/>
                <w:highlight w:val="none"/>
                <w:u w:val="none"/>
                <w:lang w:val="en-US" w:eastAsia="zh-CN" w:bidi="ar"/>
              </w:rPr>
              <w:t xml:space="preserve">管理人员投入、技术人员投入、安装调试人员投入，管理及专业实施人员配备优于本项目需求的得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分，管理及专业实施人员配备满足本项目需求的得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分，管理及专业实施人员配备不满足或不提供不得分。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能全部响应要求，提出更为</w:t>
            </w:r>
            <w:r>
              <w:rPr>
                <w:rFonts w:hint="eastAsia" w:ascii="宋体" w:hAnsi="宋体" w:cs="宋体"/>
                <w:color w:val="auto"/>
                <w:sz w:val="24"/>
                <w:szCs w:val="24"/>
                <w:highlight w:val="none"/>
                <w:lang w:val="en-US" w:eastAsia="zh-CN"/>
              </w:rPr>
              <w:t xml:space="preserve">全面</w:t>
            </w:r>
            <w:r>
              <w:rPr>
                <w:rFonts w:hint="eastAsia" w:ascii="宋体" w:hAnsi="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对于要求的响应不完全或者偏离要求的，视为不符合。具体由评审委员会评审。</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w:t>
            </w:r>
            <w:r>
              <w:rPr>
                <w:rFonts w:hint="eastAsia" w:ascii="宋体" w:hAnsi="宋体" w:cs="宋体"/>
                <w:color w:val="auto"/>
                <w:sz w:val="24"/>
                <w:szCs w:val="24"/>
                <w:highlight w:val="none"/>
                <w:lang w:val="en-US" w:eastAsia="zh-CN"/>
              </w:rPr>
              <w:t xml:space="preserve">等方面内容。</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w:t>
            </w:r>
            <w:r>
              <w:rPr>
                <w:rFonts w:hint="eastAsia" w:ascii="宋体" w:hAnsi="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w:t>
            </w:r>
            <w:r>
              <w:rPr>
                <w:rFonts w:hint="eastAsia" w:ascii="宋体" w:hAnsi="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1分</w:t>
            </w:r>
            <w:r/>
          </w:p>
        </w:tc>
      </w:tr>
    </w:tbl>
    <w:p>
      <w:pPr>
        <w:ind w:right="-10"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供应商需按照采购文件的要求提供相应的《中小企业声明函》。</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.强化政府采购异常低价审查</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采购人应在采购文件中明确评审委员会启动异常低价投标（响应）审查的情形和具体要求，包括：</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（一）评审过程中出现下列情形之一的，评审委员会应当启动异常低价投标（响应）审查程序：</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 &lt; 采购项目预算×50%；</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 &lt; 采购项目最高限价×45%；</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highlight w:val="none"/>
        </w:rPr>
        <w:outlineLvl w:val="0"/>
      </w:pPr>
      <w:r/>
      <w:bookmarkStart w:id="62" w:name="EBae7807b0bcbc478ea1f502c8f1955356"/>
      <w:r/>
      <w:bookmarkEnd w:id="62"/>
      <w:r/>
      <w:bookmarkStart w:id="63" w:name="_Toc514054481"/>
      <w:r>
        <w:rPr>
          <w:rFonts w:hint="eastAsia"/>
          <w:b/>
          <w:color w:val="auto"/>
          <w:sz w:val="44"/>
          <w:szCs w:val="44"/>
          <w:highlight w:val="none"/>
        </w:rPr>
        <w:br w:type="page" w:clear="all"/>
      </w:r>
      <w:bookmarkStart w:id="64"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3"/>
      <w:r/>
      <w:bookmarkEnd w:id="64"/>
      <w:r/>
      <w:r/>
    </w:p>
    <w:p>
      <w:pPr>
        <w:pStyle w:val="675"/>
        <w:spacing w:before="103"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pacing w:val="-1"/>
          <w:sz w:val="28"/>
          <w:szCs w:val="28"/>
          <w:highlight w:val="none"/>
        </w:rPr>
        <w:t xml:space="preserve">一、</w:t>
      </w:r>
      <w:r>
        <w:rPr>
          <w:rFonts w:hint="eastAsia" w:ascii="宋体" w:hAnsi="宋体" w:eastAsia="宋体" w:cs="宋体"/>
          <w:b/>
          <w:bCs/>
          <w:color w:val="auto"/>
          <w:spacing w:val="-1"/>
          <w:sz w:val="28"/>
          <w:szCs w:val="28"/>
          <w:highlight w:val="none"/>
          <w:lang w:val="en-US" w:eastAsia="zh-CN"/>
        </w:rPr>
        <w:t xml:space="preserve">需求一览表</w:t>
      </w:r>
      <w:r/>
    </w:p>
    <w:tbl>
      <w:tblPr>
        <w:tblStyle w:val="671"/>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892"/>
        <w:gridCol w:w="924"/>
        <w:gridCol w:w="2612"/>
        <w:gridCol w:w="1980"/>
      </w:tblGrid>
      <w:tr>
        <w:trPr>
          <w:jc w:val="center"/>
          <w:trHeight w:val="590"/>
        </w:trPr>
        <w:tc>
          <w:tcPr>
            <w:shd w:val="clear" w:color="auto" w:fill="auto"/>
            <w:tcBorders>
              <w:top w:val="single" w:color="000000" w:sz="4" w:space="0"/>
              <w:left w:val="single" w:color="000000" w:sz="4" w:space="0"/>
              <w:bottom w:val="single" w:color="auto" w:sz="4" w:space="0"/>
              <w:right w:val="single" w:color="000000"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bookmarkStart w:id="65" w:name="_Toc9306"/>
            <w:r/>
            <w:bookmarkStart w:id="66" w:name="_Toc514054482"/>
            <w:r>
              <w:rPr>
                <w:rFonts w:hint="eastAsia" w:ascii="宋体" w:hAnsi="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auto" w:sz="4" w:space="0"/>
              <w:right w:val="single" w:color="000000" w:sz="4" w:space="0"/>
            </w:tcBorders>
            <w:tcW w:w="9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261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交货期</w:t>
            </w:r>
            <w:r/>
          </w:p>
        </w:tc>
        <w:tc>
          <w:tcPr>
            <w:shd w:val="clear" w:color="auto" w:fill="auto"/>
            <w:tcBorders>
              <w:top w:val="single" w:color="000000" w:sz="4" w:space="0"/>
              <w:left w:val="single" w:color="000000" w:sz="4" w:space="0"/>
              <w:bottom w:val="single" w:color="auto" w:sz="4" w:space="0"/>
              <w:right w:val="single" w:color="000000" w:sz="4" w:space="0"/>
            </w:tcBorders>
            <w:tcW w:w="19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交货地点</w:t>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lang w:eastAsia="zh-CN"/>
              </w:rPr>
              <w:t xml:space="preserve">便携式彩色多普勒超声诊断系统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pacing w:val="0"/>
                <w:sz w:val="24"/>
                <w:szCs w:val="24"/>
                <w:highlight w:val="none"/>
              </w:rPr>
              <w:t xml:space="preserve">1</w:t>
            </w:r>
            <w:r>
              <w:rPr>
                <w:rFonts w:hint="eastAsia" w:ascii="宋体" w:hAnsi="宋体" w:cs="宋体"/>
                <w:color w:val="auto"/>
                <w:spacing w:val="0"/>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612" w:type="dxa"/>
            <w:vAlign w:val="center"/>
            <w:textDirection w:val="lrTb"/>
            <w:noWrap/>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rPr>
              <w:t xml:space="preserve">合同签订后</w:t>
            </w:r>
            <w:r>
              <w:rPr>
                <w:rFonts w:hint="eastAsia" w:ascii="宋体" w:hAnsi="宋体" w:eastAsia="宋体" w:cs="宋体"/>
                <w:i w:val="0"/>
                <w:iCs w:val="0"/>
                <w:color w:val="auto"/>
                <w:sz w:val="24"/>
                <w:szCs w:val="24"/>
                <w:highlight w:val="none"/>
                <w:u w:val="none"/>
                <w:lang w:val="en-US" w:eastAsia="zh-CN"/>
              </w:rPr>
              <w:t xml:space="preserve">60日</w:t>
            </w:r>
            <w:r>
              <w:rPr>
                <w:rFonts w:hint="eastAsia" w:ascii="宋体" w:hAnsi="宋体" w:eastAsia="宋体" w:cs="宋体"/>
                <w:i w:val="0"/>
                <w:iCs w:val="0"/>
                <w:color w:val="auto"/>
                <w:sz w:val="24"/>
                <w:szCs w:val="24"/>
                <w:highlight w:val="none"/>
                <w:u w:val="none"/>
              </w:rPr>
              <w:t xml:space="preserve">内</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rPr>
              <w:t xml:space="preserve">采购人</w:t>
            </w:r>
            <w:r>
              <w:rPr>
                <w:rFonts w:hint="eastAsia" w:ascii="宋体" w:hAnsi="宋体" w:eastAsia="宋体" w:cs="宋体"/>
                <w:i w:val="0"/>
                <w:iCs w:val="0"/>
                <w:color w:val="auto"/>
                <w:sz w:val="24"/>
                <w:szCs w:val="24"/>
                <w:highlight w:val="none"/>
                <w:u w:val="none"/>
              </w:rPr>
              <w:t xml:space="preserve">指定地点</w:t>
            </w:r>
            <w:r/>
          </w:p>
        </w:tc>
      </w:tr>
    </w:tbl>
    <w:p>
      <w:pPr>
        <w:pStyle w:val="675"/>
        <w:spacing w:before="103" w:line="360" w:lineRule="auto"/>
        <w:rPr>
          <w:rFonts w:hint="eastAsia" w:ascii="宋体" w:hAnsi="宋体" w:eastAsia="宋体" w:cs="宋体"/>
          <w:b/>
          <w:bCs/>
          <w:color w:val="auto"/>
          <w:spacing w:val="-1"/>
          <w:sz w:val="28"/>
          <w:szCs w:val="28"/>
          <w:highlight w:val="none"/>
        </w:rPr>
      </w:pPr>
      <w:r>
        <w:rPr>
          <w:rFonts w:hint="eastAsia" w:ascii="宋体" w:hAnsi="宋体" w:eastAsia="宋体" w:cs="宋体"/>
          <w:b/>
          <w:bCs/>
          <w:color w:val="auto"/>
          <w:spacing w:val="-1"/>
          <w:sz w:val="28"/>
          <w:szCs w:val="28"/>
          <w:highlight w:val="none"/>
        </w:rPr>
      </w:r>
      <w:r/>
    </w:p>
    <w:p>
      <w:pPr>
        <w:pStyle w:val="675"/>
        <w:spacing w:before="103" w:line="360" w:lineRule="auto"/>
        <w:rPr>
          <w:rFonts w:hint="eastAsia" w:ascii="宋体" w:hAnsi="宋体" w:cs="宋体"/>
          <w:b/>
          <w:color w:val="auto"/>
          <w:sz w:val="24"/>
          <w:szCs w:val="24"/>
          <w:highlight w:val="none"/>
          <w:lang w:val="en-US" w:eastAsia="zh-CN"/>
        </w:rPr>
      </w:pPr>
      <w:r>
        <w:rPr>
          <w:rFonts w:hint="eastAsia" w:ascii="宋体" w:hAnsi="宋体" w:eastAsia="宋体" w:cs="宋体"/>
          <w:b/>
          <w:bCs/>
          <w:color w:val="auto"/>
          <w:spacing w:val="-1"/>
          <w:sz w:val="28"/>
          <w:szCs w:val="28"/>
          <w:highlight w:val="none"/>
        </w:rPr>
        <w:t xml:space="preserve">二、</w:t>
      </w:r>
      <w:r>
        <w:rPr>
          <w:rFonts w:hint="eastAsia" w:ascii="宋体" w:hAnsi="宋体" w:eastAsia="宋体" w:cs="宋体"/>
          <w:b/>
          <w:bCs/>
          <w:color w:val="auto"/>
          <w:spacing w:val="-1"/>
          <w:sz w:val="28"/>
          <w:szCs w:val="28"/>
          <w:highlight w:val="none"/>
          <w:lang w:val="en-US" w:eastAsia="zh-CN"/>
        </w:rPr>
        <w:t xml:space="preserve">技术参数要求</w:t>
      </w:r>
      <w:r/>
    </w:p>
    <w:p>
      <w:pPr>
        <w:spacing w:line="360" w:lineRule="auto"/>
        <w:tabs>
          <w:tab w:val="left" w:pos="1418"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设备适用范围等要求</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适用于腹部、心脏、妇产科、泌尿科、新生儿、术中、介入、血管、浅表组织与小器官等全身应用。</w:t>
      </w:r>
      <w:r/>
    </w:p>
    <w:p>
      <w:pPr>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主要组成单</w:t>
      </w:r>
      <w:r>
        <w:rPr>
          <w:rFonts w:hint="eastAsia" w:ascii="宋体" w:hAnsi="宋体" w:cs="宋体"/>
          <w:b/>
          <w:color w:val="auto"/>
          <w:sz w:val="24"/>
          <w:szCs w:val="24"/>
          <w:highlight w:val="none"/>
        </w:rPr>
        <w:t xml:space="preserve">元及相关技术规格要求 </w:t>
      </w:r>
      <w:r>
        <w:rPr>
          <w:rFonts w:hint="eastAsia" w:ascii="宋体" w:hAnsi="宋体" w:cs="宋体"/>
          <w:b/>
          <w:color w:val="auto"/>
          <w:sz w:val="24"/>
          <w:szCs w:val="24"/>
          <w:highlight w:val="none"/>
        </w:rPr>
        <w:tab/>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笔记本式，非立式超声，不小于15英寸高清晰度医用彩色液晶显示器；</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整机一体，≥15英寸高清晰度医用彩色液晶显示器，整机重量≤6.5KG，合并后高度≤65mm，探头接口可扩展到3个，配备原厂台车，整机电池使用时间≥1.5h</w:t>
      </w:r>
      <w:r/>
    </w:p>
    <w:p>
      <w:pPr>
        <w:ind w:firstLine="480"/>
        <w:spacing w:line="360" w:lineRule="auto"/>
        <w:widowControl/>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一键自动优化（包括应用于二维、彩色、频谱模式、TDI及造影）</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具备腹部造影成像软件；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具备造影定量分析软件；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具备低机械指数造影模式，并支持微血管造影成像；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24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相控阵探头支持造影；</w:t>
      </w:r>
      <w:r/>
    </w:p>
    <w:p>
      <w:pPr>
        <w:ind w:firstLine="24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线阵探头支持CW</w:t>
      </w:r>
      <w:r/>
    </w:p>
    <w:p>
      <w:pPr>
        <w:ind w:firstLine="24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可升级支持应变式弹性成像功能；</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支持智能多普勒功能；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支持血流智能跟踪功能；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24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解剖M型模式 ，要求M取样线≥3条，能360度任意旋转角度；</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支持一键多功能输出，要求自定义按键≥6个，同一个自定义功能按键支持≥6个功能的输出；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支持射血分数自动测量功能；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固态硬盘≥256GB；</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主机具备交、直流两用电源供电方式；</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持移动终端和PC端软件：超声设备可通过设备自带软件，将超声机器的临床静态/动态图像传输到移动终端和PC端软件，方便医生会诊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软件应符合信息网络安全标准。</w:t>
      </w:r>
      <w:r/>
    </w:p>
    <w:p>
      <w:pPr>
        <w:spacing w:line="360" w:lineRule="auto"/>
        <w:tabs>
          <w:tab w:val="left" w:pos="1418"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测量和分析(B型、M型、频谱多普勒、彩色模式)</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多普勒血流测量与分析；</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实时多普勒自动包络、测量和计算；</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心脏功能测量以及各瓣膜功能的测量、分析及报告；</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外周血管测量与分析；</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泌尿科测量与分析。</w:t>
      </w:r>
      <w:r/>
    </w:p>
    <w:p>
      <w:pPr>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eastAsia="zh-CN"/>
        </w:rPr>
        <w:t xml:space="preserve">）</w:t>
      </w:r>
      <w:r>
        <w:rPr>
          <w:rFonts w:hint="eastAsia" w:ascii="宋体" w:hAnsi="宋体" w:cs="宋体"/>
          <w:b/>
          <w:color w:val="auto"/>
          <w:sz w:val="24"/>
          <w:szCs w:val="24"/>
          <w:highlight w:val="none"/>
        </w:rPr>
        <w:t xml:space="preserve">探头配置及相关要求</w:t>
      </w:r>
      <w:r/>
    </w:p>
    <w:p>
      <w:pPr>
        <w:ind w:firstLine="480"/>
        <w:spacing w:line="360" w:lineRule="auto"/>
        <w:tabs>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1</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探头要求具备：单晶体相控阵、线阵、凸阵；</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类型：凸阵频率1.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MH</w:t>
      </w:r>
      <w:r>
        <w:rPr>
          <w:rFonts w:hint="eastAsia" w:ascii="宋体" w:hAnsi="宋体" w:cs="宋体"/>
          <w:color w:val="auto"/>
          <w:sz w:val="24"/>
          <w:szCs w:val="24"/>
          <w:highlight w:val="none"/>
          <w:lang w:val="en-US" w:eastAsia="zh-CN"/>
        </w:rPr>
        <w:t xml:space="preserve">z</w:t>
      </w:r>
      <w:r>
        <w:rPr>
          <w:rFonts w:hint="eastAsia" w:ascii="宋体" w:hAnsi="宋体" w:cs="宋体"/>
          <w:color w:val="auto"/>
          <w:sz w:val="24"/>
          <w:szCs w:val="24"/>
          <w:highlight w:val="none"/>
        </w:rPr>
        <w:t xml:space="preserve">，线阵频率</w:t>
      </w: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MH</w:t>
      </w:r>
      <w:r>
        <w:rPr>
          <w:rFonts w:hint="eastAsia" w:ascii="宋体" w:hAnsi="宋体" w:cs="宋体"/>
          <w:color w:val="auto"/>
          <w:sz w:val="24"/>
          <w:szCs w:val="24"/>
          <w:highlight w:val="none"/>
          <w:lang w:val="en-US" w:eastAsia="zh-CN"/>
        </w:rPr>
        <w:t xml:space="preserve">z</w:t>
      </w:r>
      <w:r>
        <w:rPr>
          <w:rFonts w:hint="eastAsia" w:ascii="宋体" w:hAnsi="宋体" w:cs="宋体"/>
          <w:color w:val="auto"/>
          <w:sz w:val="24"/>
          <w:szCs w:val="24"/>
          <w:highlight w:val="none"/>
        </w:rPr>
        <w:t xml:space="preserve">，相控阵1.</w:t>
      </w:r>
      <w:r>
        <w:rPr>
          <w:rFonts w:hint="eastAsia" w:ascii="宋体" w:hAnsi="宋体" w:cs="宋体"/>
          <w:color w:val="auto"/>
          <w:sz w:val="24"/>
          <w:szCs w:val="24"/>
          <w:highlight w:val="none"/>
          <w:lang w:val="en-US" w:eastAsia="zh-CN"/>
        </w:rPr>
        <w:t xml:space="preserve">5-5.0</w:t>
      </w:r>
      <w:r>
        <w:rPr>
          <w:rFonts w:hint="eastAsia" w:ascii="宋体" w:hAnsi="宋体" w:cs="宋体"/>
          <w:color w:val="auto"/>
          <w:sz w:val="24"/>
          <w:szCs w:val="24"/>
          <w:highlight w:val="none"/>
        </w:rPr>
        <w:t xml:space="preserve">MH</w:t>
      </w:r>
      <w:r>
        <w:rPr>
          <w:rFonts w:hint="eastAsia" w:ascii="宋体" w:hAnsi="宋体" w:cs="宋体"/>
          <w:color w:val="auto"/>
          <w:sz w:val="24"/>
          <w:szCs w:val="24"/>
          <w:highlight w:val="none"/>
          <w:lang w:val="en-US" w:eastAsia="zh-CN"/>
        </w:rPr>
        <w:t xml:space="preserve">z</w:t>
      </w:r>
      <w:r>
        <w:rPr>
          <w:rFonts w:hint="eastAsia" w:ascii="宋体" w:hAnsi="宋体" w:cs="宋体"/>
          <w:color w:val="auto"/>
          <w:sz w:val="24"/>
          <w:szCs w:val="24"/>
          <w:highlight w:val="none"/>
        </w:rPr>
        <w:t xml:space="preserve">；</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阵元：线阵探头有效阵元数≥128阵元；</w:t>
      </w:r>
      <w:r/>
    </w:p>
    <w:p>
      <w:pPr>
        <w:ind w:firstLine="480"/>
        <w:spacing w:line="360" w:lineRule="auto"/>
        <w:tabs>
          <w:tab w:val="left" w:pos="1418" w:leader="none"/>
          <w:tab w:val="left" w:pos="65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B/D兼用：线阵：B/PWD ；相控阵：B/PWD/CWD；</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支持热插拔。</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探头接口免费可扩展到3个，随意切换</w:t>
      </w:r>
      <w:r/>
    </w:p>
    <w:p>
      <w:pPr>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eastAsia="zh-CN"/>
        </w:rPr>
        <w:t xml:space="preserve">）</w:t>
      </w:r>
      <w:r>
        <w:rPr>
          <w:rFonts w:hint="eastAsia" w:ascii="宋体" w:hAnsi="宋体" w:cs="宋体"/>
          <w:b/>
          <w:color w:val="auto"/>
          <w:sz w:val="24"/>
          <w:szCs w:val="24"/>
          <w:highlight w:val="none"/>
        </w:rPr>
        <w:t xml:space="preserve">二维灰阶显像</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扫描速率：B模式凸阵探头全视野，18cm深度时，帧速率≥</w:t>
      </w: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帧/秒；B模式相控阵探头90度，18cm深度时，帧速率≥50帧/秒；彩色显示帧频:全视野,18cm深度时, ≥1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帧/秒；</w:t>
      </w:r>
      <w:r/>
    </w:p>
    <w:p>
      <w:pPr>
        <w:ind w:firstLine="480"/>
        <w:spacing w:line="360" w:lineRule="auto"/>
        <w:tabs>
          <w:tab w:val="left" w:pos="1418"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显示深度：≥40cm；</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发射声束聚焦：≥8段；</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回放重现：灰阶图像回放≥1000幅、回放时间≥20秒；</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预设条件：针对不同的检查脏器，预置最佳化图像的检查条件，减少操作时的调节，及常用所需的外部调节及组合调节；</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时间增益补偿TGC调节≥8段，LGC调节≥4段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eastAsia="zh-CN"/>
        </w:rPr>
        <w:t xml:space="preserve">）</w:t>
      </w:r>
      <w:r>
        <w:rPr>
          <w:rFonts w:hint="eastAsia" w:ascii="宋体" w:hAnsi="宋体" w:cs="宋体"/>
          <w:b/>
          <w:color w:val="auto"/>
          <w:sz w:val="24"/>
          <w:szCs w:val="24"/>
          <w:highlight w:val="none"/>
        </w:rPr>
        <w:t xml:space="preserve">频谱多普勒</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工作方式：脉冲波多普勒 PWD；高脉冲重复频率 HPFF；连续波多普勒 CWD；</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多普勒发射频率：线阵≥2段；凸阵≥2段；</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最大测量速度：PWD：血流速度≥8.0 m/s；CWD:血流速度≥17.0 m/s；</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最低测量速度：≤1.0mm/s(非噪声信号)；</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显示方式：B、M、B/M、B/M/CFI、B/D、D、B/CFI/D；</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电影回放：≥20秒；</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取样宽度及位置范围：宽度1mm至16mm；分级；</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显示控制：反转显示(左/右；上/下)零移位、90度旋转；</w:t>
      </w:r>
      <w:r/>
    </w:p>
    <w:p>
      <w:pPr>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eastAsia="zh-CN"/>
        </w:rPr>
        <w:t xml:space="preserve">）</w:t>
      </w:r>
      <w:r>
        <w:rPr>
          <w:rFonts w:hint="eastAsia" w:ascii="宋体" w:hAnsi="宋体" w:cs="宋体"/>
          <w:b/>
          <w:color w:val="auto"/>
          <w:sz w:val="24"/>
          <w:szCs w:val="24"/>
          <w:highlight w:val="none"/>
        </w:rPr>
        <w:t xml:space="preserve">彩色多普勒</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显示方式：速度分散显示、能量显示、速度显示；</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显示控制：零位移动、黑白与彩色比较、彩色对比；</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彩色增强功能：彩色多普勒能量图(CDE)（包括方向性能量图）；</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双幅实时显示、包括双幅不同模式实时显示（B/B;B/CFM）；</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超声功率输出调节：B/M、PWD、Color Doppler输出功率可调。</w:t>
      </w:r>
      <w:r/>
    </w:p>
    <w:p>
      <w:pPr>
        <w:ind w:firstLine="480"/>
        <w:spacing w:line="360" w:lineRule="auto"/>
        <w:tabs>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组织多普勒成像模式，至少包含TVI/TEI/TVD/TVM四种成像模式</w:t>
      </w:r>
      <w:r/>
    </w:p>
    <w:p>
      <w:pPr>
        <w:spacing w:line="360" w:lineRule="auto"/>
        <w:tabs>
          <w:tab w:val="left" w:pos="1418"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配置要求</w:t>
      </w:r>
      <w:r/>
    </w:p>
    <w:p>
      <w:pPr>
        <w:ind w:firstLine="480"/>
        <w:spacing w:line="360" w:lineRule="auto"/>
        <w:tabs>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1</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便携式彩色多普勒超声诊断仪主机</w:t>
      </w:r>
      <w:r>
        <w:rPr>
          <w:rFonts w:hint="eastAsia" w:ascii="宋体" w:hAnsi="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rPr>
        <w:t xml:space="preserve">台</w:t>
      </w:r>
      <w:r/>
    </w:p>
    <w:p>
      <w:pPr>
        <w:ind w:firstLine="480"/>
        <w:spacing w:line="360" w:lineRule="auto"/>
        <w:tabs>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2</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原厂台车</w:t>
      </w:r>
      <w:r>
        <w:rPr>
          <w:rFonts w:hint="eastAsia" w:ascii="宋体" w:hAnsi="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rPr>
        <w:t xml:space="preserve">辆</w:t>
      </w:r>
      <w:r/>
    </w:p>
    <w:p>
      <w:pPr>
        <w:ind w:firstLine="480"/>
        <w:keepLines w:val="0"/>
        <w:keepNext w:val="0"/>
        <w:pageBreakBefore w:val="0"/>
        <w:spacing w:line="360" w:lineRule="auto"/>
        <w:widowControl/>
        <w:tabs>
          <w:tab w:val="left" w:pos="1418" w:leader="none"/>
        </w:tabs>
        <w:rPr>
          <w:rFonts w:hint="eastAsia" w:ascii="宋体" w:hAnsi="宋体" w:eastAsia="宋体" w:cs="宋体"/>
          <w:b/>
          <w:bCs/>
          <w:color w:val="auto"/>
          <w:sz w:val="24"/>
          <w:szCs w:val="24"/>
          <w:highlight w:val="none"/>
        </w:rPr>
      </w:pPr>
      <w:r>
        <w:rPr>
          <w:rFonts w:hint="eastAsia" w:ascii="宋体" w:hAnsi="宋体" w:cs="宋体"/>
          <w:i/>
          <w:iCs/>
          <w:color w:val="auto"/>
          <w:sz w:val="24"/>
          <w:szCs w:val="24"/>
          <w:highlight w:val="none"/>
          <w:u w:val="single"/>
        </w:rPr>
        <w:t xml:space="preserve">3</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三探头扩展器</w:t>
      </w:r>
      <w:r>
        <w:rPr>
          <w:rFonts w:hint="eastAsia" w:ascii="宋体" w:hAnsi="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rPr>
        <w:t xml:space="preserve">个</w:t>
      </w:r>
      <w:r/>
    </w:p>
    <w:p>
      <w:pPr>
        <w:ind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5"/>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856"/>
          <w:rFonts w:hint="eastAsia" w:ascii="宋体" w:hAnsi="宋体" w:eastAsia="宋体" w:cs="宋体"/>
          <w:bCs/>
          <w:i/>
          <w:iCs/>
          <w:color w:val="auto"/>
          <w:sz w:val="24"/>
          <w:szCs w:val="24"/>
          <w:highlight w:val="none"/>
          <w:u w:val="single"/>
        </w:rPr>
      </w:pPr>
      <w:r>
        <w:rPr>
          <w:rStyle w:val="856"/>
          <w:rFonts w:hint="eastAsia" w:ascii="宋体" w:hAnsi="宋体" w:eastAsia="宋体" w:cs="宋体"/>
          <w:b/>
          <w:i/>
          <w:iCs/>
          <w:color w:val="auto"/>
          <w:sz w:val="24"/>
          <w:szCs w:val="24"/>
          <w:highlight w:val="none"/>
          <w:u w:val="single"/>
        </w:rPr>
        <w:t xml:space="preserve">1、</w:t>
      </w:r>
      <w:r>
        <w:rPr>
          <w:rStyle w:val="856"/>
          <w:rFonts w:hint="eastAsia" w:ascii="宋体" w:hAnsi="宋体" w:eastAsia="宋体" w:cs="宋体"/>
          <w:b/>
          <w:i/>
          <w:iCs/>
          <w:color w:val="auto"/>
          <w:sz w:val="24"/>
          <w:szCs w:val="24"/>
          <w:highlight w:val="none"/>
          <w:u w:val="single"/>
          <w:lang w:val="zh-CN"/>
        </w:rPr>
        <w:t xml:space="preserve">交货期：</w:t>
      </w:r>
      <w:r>
        <w:rPr>
          <w:rStyle w:val="856"/>
          <w:rFonts w:hint="eastAsia" w:ascii="宋体" w:hAnsi="宋体" w:eastAsia="宋体" w:cs="宋体"/>
          <w:bCs/>
          <w:i/>
          <w:iCs/>
          <w:color w:val="auto"/>
          <w:sz w:val="24"/>
          <w:szCs w:val="24"/>
          <w:highlight w:val="none"/>
          <w:u w:val="single"/>
        </w:rPr>
        <w:t xml:space="preserve">必须在合同签订后</w:t>
      </w:r>
      <w:r>
        <w:rPr>
          <w:rStyle w:val="856"/>
          <w:rFonts w:hint="eastAsia" w:ascii="宋体" w:hAnsi="宋体" w:cs="宋体"/>
          <w:bCs/>
          <w:i/>
          <w:iCs/>
          <w:color w:val="auto"/>
          <w:sz w:val="24"/>
          <w:szCs w:val="24"/>
          <w:highlight w:val="none"/>
          <w:u w:val="single"/>
          <w:lang w:val="en-US" w:eastAsia="zh-CN"/>
        </w:rPr>
        <w:t xml:space="preserve">60日</w:t>
      </w:r>
      <w:r>
        <w:rPr>
          <w:rStyle w:val="856"/>
          <w:rFonts w:hint="eastAsia" w:ascii="宋体" w:hAnsi="宋体" w:eastAsia="宋体" w:cs="宋体"/>
          <w:bCs/>
          <w:i/>
          <w:iCs/>
          <w:color w:val="auto"/>
          <w:sz w:val="24"/>
          <w:szCs w:val="24"/>
          <w:highlight w:val="none"/>
          <w:u w:val="single"/>
        </w:rPr>
        <w:t xml:space="preserve">内完成到货、安装、调试工作并交付使用，中标价包括安装调试过程中产生的一切费用。</w:t>
      </w:r>
      <w:r/>
    </w:p>
    <w:p>
      <w:pPr>
        <w:ind w:firstLine="482"/>
        <w:keepLines w:val="0"/>
        <w:keepNext w:val="0"/>
        <w:pageBreakBefore w:val="0"/>
        <w:spacing w:line="360" w:lineRule="auto"/>
        <w:widowControl w:val="off"/>
        <w:rPr>
          <w:rStyle w:val="856"/>
          <w:rFonts w:hint="eastAsia" w:ascii="宋体" w:hAnsi="宋体" w:eastAsia="宋体" w:cs="宋体"/>
          <w:b/>
          <w:i/>
          <w:iCs/>
          <w:color w:val="auto"/>
          <w:sz w:val="24"/>
          <w:szCs w:val="24"/>
          <w:highlight w:val="none"/>
          <w:u w:val="single"/>
          <w:lang w:val="zh-CN"/>
        </w:rPr>
      </w:pPr>
      <w:r>
        <w:rPr>
          <w:rStyle w:val="856"/>
          <w:rFonts w:hint="eastAsia" w:ascii="宋体" w:hAnsi="宋体" w:eastAsia="宋体" w:cs="宋体"/>
          <w:b/>
          <w:i/>
          <w:iCs/>
          <w:color w:val="auto"/>
          <w:sz w:val="24"/>
          <w:szCs w:val="24"/>
          <w:highlight w:val="none"/>
          <w:u w:val="single"/>
        </w:rPr>
        <w:t xml:space="preserve">2、</w:t>
      </w:r>
      <w:r>
        <w:rPr>
          <w:rStyle w:val="856"/>
          <w:rFonts w:hint="eastAsia" w:ascii="宋体" w:hAnsi="宋体" w:eastAsia="宋体" w:cs="宋体"/>
          <w:b/>
          <w:i/>
          <w:iCs/>
          <w:color w:val="auto"/>
          <w:sz w:val="24"/>
          <w:szCs w:val="24"/>
          <w:highlight w:val="none"/>
          <w:u w:val="single"/>
          <w:lang w:val="zh-CN"/>
        </w:rPr>
        <w:t xml:space="preserve">交货方式：</w:t>
      </w:r>
      <w:r>
        <w:rPr>
          <w:rStyle w:val="856"/>
          <w:rFonts w:hint="eastAsia" w:ascii="宋体" w:hAnsi="宋体" w:eastAsia="宋体" w:cs="宋体"/>
          <w:bCs/>
          <w:i/>
          <w:iCs/>
          <w:color w:val="auto"/>
          <w:sz w:val="24"/>
          <w:szCs w:val="24"/>
          <w:highlight w:val="none"/>
          <w:u w:val="single"/>
        </w:rPr>
        <w:t xml:space="preserve">送货到</w:t>
      </w:r>
      <w:r>
        <w:rPr>
          <w:rStyle w:val="856"/>
          <w:rFonts w:hint="eastAsia" w:ascii="宋体" w:hAnsi="宋体" w:cs="宋体"/>
          <w:bCs/>
          <w:i/>
          <w:iCs/>
          <w:color w:val="auto"/>
          <w:sz w:val="24"/>
          <w:szCs w:val="24"/>
          <w:highlight w:val="none"/>
          <w:u w:val="single"/>
          <w:lang w:val="en-US"/>
        </w:rPr>
        <w:t xml:space="preserve">采购人</w:t>
      </w:r>
      <w:r>
        <w:rPr>
          <w:rStyle w:val="856"/>
          <w:rFonts w:hint="eastAsia" w:ascii="宋体" w:hAnsi="宋体" w:eastAsia="宋体" w:cs="宋体"/>
          <w:bCs/>
          <w:i/>
          <w:iCs/>
          <w:color w:val="auto"/>
          <w:sz w:val="24"/>
          <w:szCs w:val="24"/>
          <w:highlight w:val="none"/>
          <w:u w:val="single"/>
        </w:rPr>
        <w:t xml:space="preserve">指定地点并安装调试</w:t>
      </w:r>
      <w:r>
        <w:rPr>
          <w:rStyle w:val="856"/>
          <w:rFonts w:hint="eastAsia" w:ascii="宋体" w:hAnsi="宋体" w:eastAsia="宋体" w:cs="宋体"/>
          <w:bCs/>
          <w:i/>
          <w:iCs/>
          <w:color w:val="auto"/>
          <w:sz w:val="24"/>
          <w:szCs w:val="24"/>
          <w:highlight w:val="none"/>
          <w:u w:val="single"/>
          <w:lang w:val="zh-CN"/>
        </w:rPr>
        <w:t xml:space="preserve">。</w:t>
      </w:r>
      <w:r/>
    </w:p>
    <w:p>
      <w:pPr>
        <w:ind w:firstLine="482"/>
        <w:keepLines w:val="0"/>
        <w:keepNext w:val="0"/>
        <w:pageBreakBefore w:val="0"/>
        <w:spacing w:line="360" w:lineRule="auto"/>
        <w:widowControl w:val="off"/>
        <w:rPr>
          <w:rStyle w:val="856"/>
          <w:rFonts w:hint="eastAsia" w:ascii="宋体" w:hAnsi="宋体" w:eastAsia="宋体" w:cs="宋体"/>
          <w:i/>
          <w:iCs/>
          <w:color w:val="auto"/>
          <w:sz w:val="24"/>
          <w:szCs w:val="24"/>
          <w:highlight w:val="none"/>
          <w:u w:val="single"/>
        </w:rPr>
      </w:pPr>
      <w:r>
        <w:rPr>
          <w:rStyle w:val="856"/>
          <w:rFonts w:hint="eastAsia" w:ascii="宋体" w:hAnsi="宋体" w:eastAsia="宋体" w:cs="宋体"/>
          <w:b/>
          <w:i/>
          <w:iCs/>
          <w:color w:val="auto"/>
          <w:sz w:val="24"/>
          <w:szCs w:val="24"/>
          <w:highlight w:val="none"/>
          <w:u w:val="single"/>
        </w:rPr>
        <w:t xml:space="preserve">3、</w:t>
      </w:r>
      <w:r>
        <w:rPr>
          <w:rStyle w:val="856"/>
          <w:rFonts w:hint="eastAsia" w:ascii="宋体" w:hAnsi="宋体" w:eastAsia="宋体" w:cs="宋体"/>
          <w:b/>
          <w:i/>
          <w:iCs/>
          <w:color w:val="auto"/>
          <w:sz w:val="24"/>
          <w:szCs w:val="24"/>
          <w:highlight w:val="none"/>
          <w:u w:val="single"/>
          <w:lang w:val="zh-CN"/>
        </w:rPr>
        <w:t xml:space="preserve">交货地点：</w:t>
      </w:r>
      <w:r>
        <w:rPr>
          <w:rStyle w:val="856"/>
          <w:rFonts w:hint="eastAsia" w:ascii="宋体" w:hAnsi="宋体" w:cs="宋体"/>
          <w:i/>
          <w:iCs/>
          <w:color w:val="auto"/>
          <w:sz w:val="24"/>
          <w:szCs w:val="24"/>
          <w:highlight w:val="none"/>
          <w:u w:val="single"/>
          <w:lang w:val="en-US"/>
        </w:rPr>
        <w:t xml:space="preserve">采购人</w:t>
      </w:r>
      <w:r>
        <w:rPr>
          <w:rStyle w:val="856"/>
          <w:rFonts w:hint="eastAsia" w:ascii="宋体" w:hAnsi="宋体" w:eastAsia="宋体" w:cs="宋体"/>
          <w:i/>
          <w:iCs/>
          <w:color w:val="auto"/>
          <w:sz w:val="24"/>
          <w:szCs w:val="24"/>
          <w:highlight w:val="none"/>
          <w:u w:val="single"/>
        </w:rPr>
        <w:t xml:space="preserve">指定地点。</w:t>
      </w:r>
      <w:r/>
    </w:p>
    <w:p>
      <w:pPr>
        <w:ind w:firstLine="482"/>
        <w:keepLines w:val="0"/>
        <w:keepNext w:val="0"/>
        <w:pageBreakBefore w:val="0"/>
        <w:spacing w:line="360" w:lineRule="auto"/>
        <w:widowControl w:val="off"/>
        <w:rPr>
          <w:rStyle w:val="856"/>
          <w:rFonts w:hint="eastAsia" w:ascii="宋体" w:hAnsi="宋体" w:eastAsia="宋体" w:cs="宋体"/>
          <w:b w:val="0"/>
          <w:bCs/>
          <w:i/>
          <w:iCs/>
          <w:color w:val="auto"/>
          <w:sz w:val="24"/>
          <w:szCs w:val="24"/>
          <w:highlight w:val="none"/>
          <w:u w:val="single"/>
          <w:lang w:val="en-US" w:eastAsia="zh-CN"/>
        </w:rPr>
      </w:pPr>
      <w:r>
        <w:rPr>
          <w:rStyle w:val="856"/>
          <w:rFonts w:hint="eastAsia" w:ascii="宋体" w:hAnsi="宋体" w:eastAsia="宋体" w:cs="宋体"/>
          <w:b/>
          <w:i/>
          <w:iCs/>
          <w:color w:val="auto"/>
          <w:sz w:val="24"/>
          <w:szCs w:val="24"/>
          <w:highlight w:val="none"/>
          <w:u w:val="single"/>
          <w:lang w:val="en-US" w:eastAsia="zh-CN"/>
        </w:rPr>
        <w:t xml:space="preserve">4、付款方式：</w:t>
      </w:r>
      <w:r>
        <w:rPr>
          <w:rStyle w:val="856"/>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合同签订后，采购人自收到发票后10个工作日内，支付合同金额的</w:t>
      </w:r>
      <w:r>
        <w:rPr>
          <w:rStyle w:val="856"/>
          <w:rFonts w:hint="eastAsia" w:ascii="宋体" w:hAnsi="宋体" w:cs="宋体"/>
          <w:b w:val="0"/>
          <w:bCs/>
          <w:i/>
          <w:iCs/>
          <w:color w:val="auto"/>
          <w:sz w:val="24"/>
          <w:szCs w:val="24"/>
          <w:highlight w:val="none"/>
          <w:u w:val="single"/>
          <w:lang w:val="en-US" w:eastAsia="zh-CN"/>
        </w:rPr>
        <w:t xml:space="preserve">3</w:t>
      </w:r>
      <w:r>
        <w:rPr>
          <w:rStyle w:val="856"/>
          <w:rFonts w:hint="eastAsia" w:ascii="宋体" w:hAnsi="宋体" w:eastAsia="宋体" w:cs="宋体"/>
          <w:b w:val="0"/>
          <w:bCs/>
          <w:i/>
          <w:iCs/>
          <w:color w:val="auto"/>
          <w:sz w:val="24"/>
          <w:szCs w:val="24"/>
          <w:highlight w:val="none"/>
          <w:u w:val="single"/>
          <w:lang w:val="en-US" w:eastAsia="zh-CN"/>
        </w:rPr>
        <w:t xml:space="preserve">0%作为预付款，设备经安装调试验收合格后支付合同金额的</w:t>
      </w:r>
      <w:r>
        <w:rPr>
          <w:rStyle w:val="856"/>
          <w:rFonts w:hint="eastAsia" w:ascii="宋体" w:hAnsi="宋体" w:cs="宋体"/>
          <w:b w:val="0"/>
          <w:bCs/>
          <w:i/>
          <w:iCs/>
          <w:color w:val="auto"/>
          <w:sz w:val="24"/>
          <w:szCs w:val="24"/>
          <w:highlight w:val="none"/>
          <w:u w:val="single"/>
          <w:lang w:val="en-US" w:eastAsia="zh-CN"/>
        </w:rPr>
        <w:t xml:space="preserve">6</w:t>
      </w:r>
      <w:r>
        <w:rPr>
          <w:rStyle w:val="856"/>
          <w:rFonts w:hint="eastAsia" w:ascii="宋体" w:hAnsi="宋体" w:eastAsia="宋体" w:cs="宋体"/>
          <w:b w:val="0"/>
          <w:bCs/>
          <w:i/>
          <w:iCs/>
          <w:color w:val="auto"/>
          <w:sz w:val="24"/>
          <w:szCs w:val="24"/>
          <w:highlight w:val="none"/>
          <w:u w:val="single"/>
          <w:lang w:val="en-US" w:eastAsia="zh-CN"/>
        </w:rPr>
        <w:t xml:space="preserve">0%，余款合同金额的10%在设备验收合格后十二个月付清。</w:t>
      </w:r>
      <w:r/>
    </w:p>
    <w:p>
      <w:pPr>
        <w:ind w:firstLine="482"/>
        <w:keepLines w:val="0"/>
        <w:keepNext w:val="0"/>
        <w:pageBreakBefore w:val="0"/>
        <w:spacing w:line="360" w:lineRule="auto"/>
        <w:widowControl w:val="off"/>
        <w:rPr>
          <w:rStyle w:val="856"/>
          <w:rFonts w:hint="eastAsia" w:ascii="宋体" w:hAnsi="宋体" w:cs="宋体"/>
          <w:b w:val="0"/>
          <w:bCs/>
          <w:i/>
          <w:iCs/>
          <w:color w:val="auto"/>
          <w:sz w:val="24"/>
          <w:szCs w:val="24"/>
          <w:highlight w:val="none"/>
          <w:u w:val="single"/>
          <w:lang w:val="en-US" w:eastAsia="zh-CN"/>
        </w:rPr>
      </w:pPr>
      <w:r>
        <w:rPr>
          <w:rStyle w:val="856"/>
          <w:rFonts w:hint="eastAsia" w:ascii="宋体" w:hAnsi="宋体" w:eastAsia="宋体" w:cs="宋体"/>
          <w:b/>
          <w:i/>
          <w:iCs/>
          <w:color w:val="auto"/>
          <w:sz w:val="24"/>
          <w:szCs w:val="24"/>
          <w:highlight w:val="none"/>
          <w:u w:val="single"/>
          <w:lang w:val="en-US" w:eastAsia="zh-CN"/>
        </w:rPr>
        <w:t xml:space="preserve">5、</w:t>
      </w:r>
      <w:r>
        <w:rPr>
          <w:rStyle w:val="856"/>
          <w:rFonts w:hint="eastAsia" w:ascii="宋体" w:hAnsi="宋体" w:cs="宋体"/>
          <w:b/>
          <w:i/>
          <w:iCs/>
          <w:color w:val="auto"/>
          <w:sz w:val="24"/>
          <w:szCs w:val="24"/>
          <w:highlight w:val="none"/>
          <w:u w:val="single"/>
          <w:lang w:val="en-US" w:eastAsia="zh-CN"/>
        </w:rPr>
        <w:t xml:space="preserve">免费质保期</w:t>
      </w:r>
      <w:r>
        <w:rPr>
          <w:rStyle w:val="856"/>
          <w:rFonts w:hint="eastAsia" w:ascii="宋体" w:hAnsi="宋体" w:eastAsia="宋体" w:cs="宋体"/>
          <w:b/>
          <w:i/>
          <w:iCs/>
          <w:color w:val="auto"/>
          <w:sz w:val="24"/>
          <w:szCs w:val="24"/>
          <w:highlight w:val="none"/>
          <w:u w:val="single"/>
          <w:lang w:val="en-US" w:eastAsia="zh-CN"/>
        </w:rPr>
        <w:t xml:space="preserve">：</w:t>
      </w:r>
      <w:r>
        <w:rPr>
          <w:rStyle w:val="856"/>
          <w:rFonts w:hint="eastAsia" w:ascii="宋体" w:hAnsi="宋体" w:eastAsia="宋体" w:cs="宋体"/>
          <w:b w:val="0"/>
          <w:bCs/>
          <w:i/>
          <w:iCs/>
          <w:color w:val="auto"/>
          <w:sz w:val="24"/>
          <w:szCs w:val="24"/>
          <w:highlight w:val="none"/>
          <w:u w:val="single"/>
          <w:lang w:val="en-US" w:eastAsia="zh-CN"/>
        </w:rPr>
        <w:t xml:space="preserve">原厂质保 </w:t>
      </w:r>
      <w:r>
        <w:rPr>
          <w:rStyle w:val="856"/>
          <w:rFonts w:hint="eastAsia" w:ascii="宋体" w:hAnsi="宋体" w:cs="宋体"/>
          <w:b w:val="0"/>
          <w:bCs/>
          <w:i/>
          <w:iCs/>
          <w:color w:val="auto"/>
          <w:sz w:val="24"/>
          <w:szCs w:val="24"/>
          <w:highlight w:val="none"/>
          <w:u w:val="single"/>
          <w:lang w:val="en-US" w:eastAsia="zh-CN"/>
        </w:rPr>
        <w:t xml:space="preserve">≥</w:t>
      </w:r>
      <w:r>
        <w:rPr>
          <w:rStyle w:val="856"/>
          <w:rFonts w:hint="eastAsia" w:ascii="宋体" w:hAnsi="宋体" w:cs="宋体"/>
          <w:b w:val="0"/>
          <w:bCs/>
          <w:i/>
          <w:iCs/>
          <w:color w:val="auto"/>
          <w:sz w:val="24"/>
          <w:szCs w:val="24"/>
          <w:highlight w:val="none"/>
          <w:u w:val="single"/>
          <w:lang w:val="en-US" w:eastAsia="zh-CN"/>
        </w:rPr>
        <w:t xml:space="preserve">2</w:t>
      </w:r>
      <w:r>
        <w:rPr>
          <w:rStyle w:val="856"/>
          <w:rFonts w:hint="eastAsia" w:ascii="宋体" w:hAnsi="宋体" w:eastAsia="宋体" w:cs="宋体"/>
          <w:b w:val="0"/>
          <w:bCs/>
          <w:i/>
          <w:iCs/>
          <w:color w:val="auto"/>
          <w:sz w:val="24"/>
          <w:szCs w:val="24"/>
          <w:highlight w:val="none"/>
          <w:u w:val="single"/>
          <w:lang w:val="en-US" w:eastAsia="zh-CN"/>
        </w:rPr>
        <w:t xml:space="preserve">年</w:t>
      </w:r>
      <w:r>
        <w:rPr>
          <w:rStyle w:val="856"/>
          <w:rFonts w:hint="eastAsia" w:ascii="宋体" w:hAnsi="宋体" w:cs="宋体"/>
          <w:b w:val="0"/>
          <w:bCs/>
          <w:i/>
          <w:iCs/>
          <w:color w:val="auto"/>
          <w:sz w:val="24"/>
          <w:szCs w:val="24"/>
          <w:highlight w:val="none"/>
          <w:u w:val="single"/>
          <w:lang w:val="en-US" w:eastAsia="zh-CN"/>
        </w:rPr>
        <w:t xml:space="preserve">。（提供承诺函，格式自拟）</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854"/>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为了确保项目的顺利实施，投标人需具备丰富的所投产品设备承接经验，确保本项目的顺利实施，投标人（或代理商、厂商）提供自2022年1月1日（含）以来具有类似项目业绩的优先。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五、免费质量保修期</w:t>
      </w:r>
      <w:r/>
    </w:p>
    <w:p>
      <w:pPr>
        <w:pStyle w:val="854"/>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投标人在满足项目需求最低质量保修期</w:t>
      </w:r>
      <w:r>
        <w:rPr>
          <w:rFonts w:hint="eastAsia" w:hAnsi="宋体" w:cs="宋体"/>
          <w:bCs/>
          <w:color w:val="auto"/>
          <w:sz w:val="24"/>
          <w:szCs w:val="24"/>
          <w:highlight w:val="none"/>
          <w:lang w:val="en-US" w:eastAsia="zh-CN"/>
        </w:rPr>
        <w:t xml:space="preserve">2年</w:t>
      </w:r>
      <w:r>
        <w:rPr>
          <w:rFonts w:hint="eastAsia" w:ascii="宋体" w:hAnsi="宋体" w:eastAsia="宋体" w:cs="宋体"/>
          <w:bCs/>
          <w:color w:val="auto"/>
          <w:sz w:val="24"/>
          <w:szCs w:val="24"/>
          <w:highlight w:val="none"/>
          <w:lang w:val="en-US" w:eastAsia="zh-CN"/>
        </w:rPr>
        <w:t xml:space="preserve">基础上，增加免费质量保修期的优先。免费质量保修期间产生的所有保修相关费用（</w:t>
      </w:r>
      <w:r>
        <w:rPr>
          <w:rFonts w:hint="eastAsia"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人工费、备品备件、耗材、服务费、税金以及保修期间涉及到的其他一切费用）应全部由投标人承担。</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名，负责技术支持、临床培训及系统操作指导；安装调试人员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名，负责本项目设备的安装、设备精准调试。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674"/>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③设备验收：</w:t>
      </w:r>
      <w:r/>
    </w:p>
    <w:p>
      <w:pPr>
        <w:pStyle w:val="674"/>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包括以下方面：操作手册，维护手册（包括维修卡），安装手册，主要部件清单，备件手册或备件清单，外购件技术资料，记录和控制卡（装箱单，产品合格证，关键部件材质证明，售后服务联系地址）</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numPr>
          <w:ilvl w:val="-1"/>
          <w:numId w:val="0"/>
        </w:numPr>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投标产品为节能产品的优先。</w:t>
      </w:r>
      <w:r/>
    </w:p>
    <w:p>
      <w:pPr>
        <w:numPr>
          <w:ilvl w:val="-1"/>
          <w:numId w:val="0"/>
        </w:numPr>
        <w:ind w:firstLine="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投标产品为环境标志产品的优先。</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tbl>
      <w:tblPr>
        <w:tblStyle w:val="67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388"/>
        <w:gridCol w:w="3753"/>
      </w:tblGrid>
      <w:tr>
        <w:trPr>
          <w:jc w:val="center"/>
          <w:trHeight w:val="635"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755"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便携式彩色多普勒超声诊断系统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工业</w:t>
            </w:r>
            <w:r/>
          </w:p>
        </w:tc>
      </w:tr>
    </w:tbl>
    <w:p>
      <w:pPr>
        <w:ind w:firstLine="0"/>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5"/>
      <w:r/>
      <w:bookmarkEnd w:id="66"/>
      <w:r/>
      <w:bookmarkStart w:id="67" w:name="_Toc8249"/>
      <w:r/>
      <w:bookmarkEnd w:id="67"/>
      <w:r/>
      <w:bookmarkStart w:id="68" w:name="_Toc9956_WPSOffice_Level2"/>
      <w:r/>
      <w:bookmarkEnd w:id="68"/>
      <w:r/>
      <w:bookmarkStart w:id="69" w:name="_Toc1883"/>
      <w:r/>
      <w:bookmarkEnd w:id="69"/>
      <w:r/>
      <w:bookmarkStart w:id="70"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100" w:beforeAutospacing="1" w:after="100" w:afterAutospacing="1" w:line="360" w:lineRule="auto"/>
        <w:widowControl/>
        <w:rPr>
          <w:rFonts w:hint="eastAsia" w:ascii="宋体" w:hAnsi="宋体" w:eastAsia="宋体" w:cs="宋体"/>
          <w:b/>
          <w:bCs/>
          <w:color w:val="auto"/>
          <w:sz w:val="24"/>
          <w:szCs w:val="24"/>
          <w:highlight w:val="none"/>
          <w:u w:val="single"/>
        </w:rPr>
        <w:outlineLvl w:val="1"/>
      </w:pPr>
      <w:r>
        <w:rPr>
          <w:rFonts w:hint="eastAsia" w:ascii="宋体" w:hAnsi="宋体" w:eastAsia="宋体" w:cs="宋体"/>
          <w:b/>
          <w:bCs/>
          <w:color w:val="auto"/>
          <w:sz w:val="24"/>
          <w:szCs w:val="24"/>
          <w:highlight w:val="none"/>
        </w:rPr>
        <w:t xml:space="preserve">购  销  合  同</w:t>
      </w:r>
      <w:r/>
    </w:p>
    <w:p>
      <w:pPr>
        <w:ind w:firstLine="540"/>
        <w:keepLines w:val="0"/>
        <w:keepNext w:val="0"/>
        <w:pageBreakBefore w:val="0"/>
        <w:spacing w:before="100" w:beforeAutospacing="1" w:after="100" w:afterAutospacing="1"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签订地点：</w:t>
      </w:r>
      <w:r>
        <w:rPr>
          <w:rFonts w:hint="eastAsia" w:ascii="宋体" w:hAnsi="宋体" w:eastAsia="宋体" w:cs="宋体"/>
          <w:b/>
          <w:color w:val="auto"/>
          <w:sz w:val="24"/>
          <w:szCs w:val="24"/>
          <w:highlight w:val="none"/>
          <w:u w:val="single"/>
        </w:rPr>
        <w:t xml:space="preserve">      盐    城           　</w:t>
      </w:r>
      <w:r>
        <w:rPr>
          <w:rFonts w:hint="eastAsia" w:ascii="宋体" w:hAnsi="宋体" w:eastAsia="宋体" w:cs="宋体"/>
          <w:b/>
          <w:color w:val="auto"/>
          <w:sz w:val="24"/>
          <w:szCs w:val="24"/>
          <w:highlight w:val="none"/>
        </w:rPr>
        <w:t xml:space="preserve">　合同编号：</w:t>
      </w:r>
      <w:r>
        <w:rPr>
          <w:rFonts w:hint="eastAsia" w:ascii="宋体" w:hAnsi="宋体" w:eastAsia="宋体" w:cs="宋体"/>
          <w:b/>
          <w:color w:val="auto"/>
          <w:sz w:val="24"/>
          <w:szCs w:val="24"/>
          <w:highlight w:val="none"/>
          <w:u w:val="single"/>
        </w:rPr>
        <w:t xml:space="preserve">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（以下简称甲方）（盖章）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（以下简称乙方）（盖章）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根据《中华人民共和国民法典》，经双方协商，本着平等互利、协商一致的原则，签订本同： </w:t>
      </w:r>
      <w:r/>
    </w:p>
    <w:p>
      <w:pPr>
        <w:ind w:firstLine="420"/>
        <w:keepLines w:val="0"/>
        <w:keepNext w:val="0"/>
        <w:pageBreakBefore w:val="0"/>
        <w:spacing w:line="360" w:lineRule="auto"/>
        <w:rPr>
          <w:rStyle w:val="857"/>
          <w:rFonts w:hint="eastAsia" w:ascii="宋体" w:hAnsi="宋体" w:eastAsia="宋体" w:cs="宋体"/>
          <w:b/>
          <w:color w:val="auto"/>
          <w:sz w:val="24"/>
          <w:szCs w:val="24"/>
          <w:highlight w:val="none"/>
        </w:rPr>
        <w:outlineLvl w:val="1"/>
      </w:pPr>
      <w:r>
        <w:rPr>
          <w:rStyle w:val="857"/>
          <w:rFonts w:hint="eastAsia" w:ascii="宋体" w:hAnsi="宋体" w:eastAsia="宋体" w:cs="宋体"/>
          <w:b/>
          <w:color w:val="auto"/>
          <w:sz w:val="24"/>
          <w:szCs w:val="24"/>
          <w:highlight w:val="none"/>
        </w:rPr>
        <w:t xml:space="preserve">第一条 商品的名称、种类、规格、数量及价款</w:t>
      </w:r>
      <w:r/>
    </w:p>
    <w:tbl>
      <w:tblPr>
        <w:tblStyle w:val="671"/>
        <w:tblW w:w="9530" w:type="dxa"/>
        <w:jc w:val="center"/>
        <w:tblCellSpacing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jc w:val="cente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Style w:val="857"/>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rPr>
              <w:t xml:space="preserve">名称</w:t>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blCellSpacing w:w="0" w:type="dxa"/>
          <w:trHeight w:val="579"/>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584"/>
        </w:trPr>
        <w:tc>
          <w:tcPr>
            <w:gridSpan w:val="7"/>
            <w:tcW w:w="9530" w:type="dxa"/>
            <w:vAlign w:val="center"/>
            <w:textDirection w:val="lrTb"/>
            <w:noWrap w:val="false"/>
          </w:tcPr>
          <w:p>
            <w:pPr>
              <w:ind w:left="480" w:hanging="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   元                   （大写）： </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备注：详见配置清单</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第二条 交货方式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bookmarkStart w:id="71" w:name="OLE_LINK3"/>
      <w:r>
        <w:rPr>
          <w:rFonts w:hint="eastAsia" w:ascii="宋体" w:hAnsi="宋体" w:eastAsia="宋体" w:cs="宋体"/>
          <w:color w:val="auto"/>
          <w:sz w:val="24"/>
          <w:szCs w:val="24"/>
          <w:highlight w:val="none"/>
        </w:rPr>
        <w:t xml:space="preserve">自甲方通知之日起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bookmarkEnd w:id="71"/>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第三条 售后质量保证、安全和服务承诺</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w:t>
      </w:r>
      <w:r>
        <w:rPr>
          <w:rStyle w:val="858"/>
          <w:rFonts w:hint="eastAsia" w:ascii="宋体" w:hAnsi="宋体" w:eastAsia="宋体" w:cs="宋体"/>
          <w:color w:val="auto"/>
          <w:sz w:val="24"/>
          <w:szCs w:val="24"/>
          <w:highlight w:val="none"/>
        </w:rPr>
        <w:t xml:space="preserve">保证所售出货物符合国家规定的质量、包装等要求。</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2、除另有约定外，合同范围的商品，应由乙方直接供应，不得转让他人供应。</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3、产品的保修期</w:t>
      </w:r>
      <w:r>
        <w:rPr>
          <w:rFonts w:hint="eastAsia" w:ascii="宋体" w:hAnsi="宋体" w:eastAsia="宋体" w:cs="宋体"/>
          <w:color w:val="auto"/>
          <w:sz w:val="24"/>
          <w:szCs w:val="24"/>
          <w:highlight w:val="none"/>
        </w:rPr>
        <w:t xml:space="preserve">（以验收合格日算起）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年，保修期内免费维修。保修期满后，维修只收取维修配</w:t>
      </w:r>
      <w:r>
        <w:rPr>
          <w:rStyle w:val="858"/>
          <w:rFonts w:hint="eastAsia" w:ascii="宋体" w:hAnsi="宋体" w:eastAsia="宋体" w:cs="宋体"/>
          <w:color w:val="auto"/>
          <w:sz w:val="24"/>
          <w:szCs w:val="24"/>
          <w:highlight w:val="none"/>
        </w:rPr>
        <w:t xml:space="preserve">件的成本费。</w:t>
      </w:r>
      <w:r/>
    </w:p>
    <w:p>
      <w:pPr>
        <w:ind w:firstLine="437"/>
        <w:keepLines w:val="0"/>
        <w:keepNext w:val="0"/>
        <w:pageBreakBefore w:val="0"/>
        <w:spacing w:line="360" w:lineRule="auto"/>
        <w:rPr>
          <w:rStyle w:val="858"/>
          <w:rFonts w:hint="eastAsia" w:ascii="宋体" w:hAnsi="宋体" w:eastAsia="宋体" w:cs="宋体"/>
          <w:color w:val="auto"/>
          <w:sz w:val="24"/>
          <w:szCs w:val="24"/>
          <w:highlight w:val="none"/>
          <w:u w:val="single"/>
        </w:rPr>
      </w:pPr>
      <w:r>
        <w:rPr>
          <w:rStyle w:val="858"/>
          <w:rFonts w:hint="eastAsia" w:ascii="宋体" w:hAnsi="宋体" w:eastAsia="宋体" w:cs="宋体"/>
          <w:color w:val="auto"/>
          <w:sz w:val="24"/>
          <w:szCs w:val="24"/>
          <w:highlight w:val="none"/>
        </w:rPr>
        <w:t xml:space="preserve">4、售后服务响应时间：</w:t>
      </w:r>
      <w:r>
        <w:rPr>
          <w:rStyle w:val="858"/>
          <w:rFonts w:hint="eastAsia" w:ascii="宋体" w:hAnsi="宋体" w:eastAsia="宋体" w:cs="宋体"/>
          <w:color w:val="auto"/>
          <w:sz w:val="24"/>
          <w:szCs w:val="24"/>
          <w:highlight w:val="none"/>
          <w:u w:val="single"/>
        </w:rPr>
        <w:t xml:space="preserve">   24小时   </w:t>
      </w:r>
      <w:r/>
    </w:p>
    <w:p>
      <w:pPr>
        <w:ind w:firstLine="437"/>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5、其 他  承 诺：</w:t>
      </w:r>
      <w:r>
        <w:rPr>
          <w:rStyle w:val="858"/>
          <w:rFonts w:hint="eastAsia" w:ascii="宋体" w:hAnsi="宋体" w:eastAsia="宋体" w:cs="宋体"/>
          <w:color w:val="auto"/>
          <w:sz w:val="24"/>
          <w:szCs w:val="24"/>
          <w:highlight w:val="none"/>
          <w:u w:val="single"/>
        </w:rPr>
        <w:t xml:space="preserve">      /      </w:t>
      </w:r>
      <w:r>
        <w:rPr>
          <w:rStyle w:val="858"/>
          <w:rFonts w:hint="eastAsia" w:ascii="宋体" w:hAnsi="宋体" w:eastAsia="宋体" w:cs="宋体"/>
          <w:color w:val="auto"/>
          <w:sz w:val="24"/>
          <w:szCs w:val="24"/>
          <w:highlight w:val="none"/>
        </w:rPr>
        <w:t xml:space="preserve">  </w:t>
      </w:r>
      <w:r/>
    </w:p>
    <w:p>
      <w:pPr>
        <w:ind w:firstLine="482"/>
        <w:jc w:val="left"/>
        <w:keepLines w:val="0"/>
        <w:keepNext w:val="0"/>
        <w:pageBreakBefore w:val="0"/>
        <w:spacing w:line="360" w:lineRule="auto"/>
        <w:widowControl/>
        <w:rPr>
          <w:rStyle w:val="857"/>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第四条 </w:t>
      </w:r>
      <w:r>
        <w:rPr>
          <w:rStyle w:val="857"/>
          <w:rFonts w:hint="eastAsia" w:ascii="宋体" w:hAnsi="宋体" w:eastAsia="宋体" w:cs="宋体"/>
          <w:b/>
          <w:color w:val="auto"/>
          <w:sz w:val="24"/>
          <w:szCs w:val="24"/>
          <w:highlight w:val="none"/>
        </w:rPr>
        <w:t xml:space="preserve">验收与安装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第五条 货款的结算</w:t>
      </w:r>
      <w:r/>
    </w:p>
    <w:p>
      <w:pPr>
        <w:numPr>
          <w:ilvl w:val="0"/>
          <w:numId w:val="0"/>
        </w:num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第六条 对产品提出异议的时间和办法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内，必须安装临床使用后才能发现内在质量缺陷的产品，从临床使用之日起</w:t>
      </w:r>
      <w:r>
        <w:rPr>
          <w:rFonts w:hint="eastAsia" w:ascii="宋体" w:hAnsi="宋体" w:eastAsia="宋体" w:cs="宋体"/>
          <w:color w:val="auto"/>
          <w:sz w:val="24"/>
          <w:szCs w:val="24"/>
          <w:highlight w:val="none"/>
          <w:u w:val="single"/>
        </w:rPr>
        <w:t xml:space="preserve">6个月</w:t>
      </w:r>
      <w:r>
        <w:rPr>
          <w:rFonts w:hint="eastAsia" w:ascii="宋体" w:hAnsi="宋体" w:eastAsia="宋体" w:cs="宋体"/>
          <w:color w:val="auto"/>
          <w:sz w:val="24"/>
          <w:szCs w:val="24"/>
          <w:highlight w:val="none"/>
        </w:rPr>
        <w:t xml:space="preserve">内向乙方提出书面异议。政府主管部门另有规定的从其规定。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2、乙方在接到甲方书面异议后，应在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z w:val="24"/>
          <w:szCs w:val="24"/>
          <w:highlight w:val="none"/>
        </w:rPr>
        <w:t xml:space="preserve">内（另有规定或当事人另行商定期限者除外）负责处理，否则，即视为默认甲方提出的异议和处理意见。</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第七条 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sz w:val="24"/>
          <w:szCs w:val="24"/>
          <w:highlight w:val="none"/>
          <w:u w:val="single"/>
        </w:rPr>
        <w:t xml:space="preserve">3天</w:t>
      </w:r>
      <w:r>
        <w:rPr>
          <w:rFonts w:hint="eastAsia" w:ascii="宋体" w:hAnsi="宋体" w:eastAsia="宋体" w:cs="宋体"/>
          <w:color w:val="auto"/>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支付违约金，并赔偿因此造成的损失。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2、乙方所交产品品种、型号、规格、花色质量不符合合同规定的，甲方有权拒绝付款，因此所发生的一切费用损失，由乙方负责。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3、乙方逾期交货或只交付部分货物的，乙方应按合同总额每日千分之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向甲方支付违约金，由甲方从待付货款中扣除。逾期超过约定日期7个工作日不能交货的，甲方有权解除本合同，乙方不得以任何理由推迟出场。已交货物如甲方决定保留，按照乙方投标文件明细报价表注明价格执行。同时乙方应向甲方支付合同总值20%的违约金，如造成甲方损失超过违约金的，超出部分由乙方继续承担赔偿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4、甲方未按合同规定的时间和要求提供相应的技术资料等，交货日期得以顺延。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第八条 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1、是否需要缴纳履约保证金：</w:t>
      </w:r>
      <w:bookmarkStart w:id="72" w:name="OLE_LINK1"/>
      <w:r>
        <w:rPr>
          <w:rFonts w:hint="eastAsia" w:ascii="宋体" w:hAnsi="宋体" w:eastAsia="宋体" w:cs="宋体"/>
          <w:color w:val="auto"/>
          <w:sz w:val="24"/>
          <w:szCs w:val="24"/>
          <w:highlight w:val="none"/>
          <w:u w:val="single"/>
        </w:rPr>
        <w:t xml:space="preserve"> 否 </w:t>
      </w:r>
      <w:bookmarkEnd w:id="72"/>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2、如需缴纳履约保证金的，按下列条款执行：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2.1乙方交纳人民币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元作为本合同的履约保证金。待设备安装验收合格后，无息退还履约保证金。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2.2乙方自主选择以支票、汇票、本票或者金融机构、担保机构出具的保函、电子履约保函（保险）等非现金形式提交履约保证金。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2.4.1方式：无息退还至投标人缴纳履约保证金的账户。如为保函，在到期时自行失效。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2.4.4不予退还情形：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第九条 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3、本合同自双方签字盖章之日起生效。本合同未尽事宜，须经双方共同协商，作出补充规定，其补充规定与本合同有同等法律效力。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4、本合同一式四份，甲方三份，乙方一份。</w:t>
      </w:r>
      <w:r/>
    </w:p>
    <w:p>
      <w:pPr>
        <w:ind w:firstLine="480"/>
        <w:jc w:val="left"/>
        <w:keepLines w:val="0"/>
        <w:keepNext w:val="0"/>
        <w:pageBreakBefore w:val="0"/>
        <w:spacing w:after="12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购货单位：</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供货单位：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（盖章）</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统一信用代码：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统一信用代码： </w:t>
      </w:r>
      <w:r/>
    </w:p>
    <w:p>
      <w:pPr>
        <w:ind w:left="900" w:hanging="48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帐     号：</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color w:val="auto"/>
          <w:highlight w:val="none"/>
        </w:rPr>
      </w:pPr>
      <w:r>
        <w:rPr>
          <w:rFonts w:hint="eastAsia" w:ascii="宋体" w:hAnsi="宋体" w:eastAsia="宋体" w:cs="宋体"/>
          <w:color w:val="auto"/>
          <w:sz w:val="24"/>
          <w:szCs w:val="24"/>
          <w:highlight w:val="none"/>
        </w:rPr>
        <w:t xml:space="preserve">日    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w:t>
      </w:r>
      <w:bookmarkEnd w:id="70"/>
      <w:r/>
    </w:p>
    <w:p>
      <w:pPr>
        <w:pStyle w:val="859"/>
        <w:ind w:firstLine="200"/>
        <w:spacing w:line="360" w:lineRule="auto"/>
        <w:rPr>
          <w:rFonts w:hint="eastAsia" w:hAnsi="宋体"/>
          <w:color w:val="auto"/>
          <w:sz w:val="24"/>
          <w:szCs w:val="24"/>
          <w:highlight w:val="none"/>
        </w:rPr>
      </w:pPr>
      <w:r>
        <w:rPr>
          <w:rFonts w:hint="eastAsia" w:hAnsi="宋体"/>
          <w:color w:val="auto"/>
          <w:sz w:val="24"/>
          <w:szCs w:val="24"/>
          <w:highlight w:val="none"/>
        </w:rPr>
      </w:r>
      <w:r/>
    </w:p>
    <w:p>
      <w:pPr>
        <w:jc w:val="both"/>
        <w:keepLines/>
        <w:keepNext/>
        <w:pageBreakBefore w:val="0"/>
        <w:spacing w:line="360" w:lineRule="auto"/>
        <w:rPr>
          <w:rFonts w:hint="eastAsia"/>
          <w:b/>
          <w:color w:val="auto"/>
          <w:sz w:val="44"/>
          <w:szCs w:val="44"/>
          <w:highlight w:val="none"/>
        </w:rPr>
        <w:outlineLvl w:val="0"/>
      </w:pPr>
      <w:r/>
      <w:bookmarkStart w:id="73" w:name="_Toc514054483"/>
      <w:r/>
      <w:bookmarkStart w:id="74" w:name="_Toc12366"/>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3"/>
      <w:r/>
      <w:bookmarkEnd w:id="74"/>
      <w:r/>
      <w:r/>
    </w:p>
    <w:p>
      <w:pPr>
        <w:spacing w:line="360" w:lineRule="auto"/>
        <w:rPr>
          <w:color w:val="auto"/>
          <w:highlight w:val="none"/>
        </w:rPr>
      </w:pPr>
      <w:r>
        <w:rPr>
          <w:color w:val="auto"/>
          <w:highlight w:val="none"/>
        </w:rPr>
      </w:r>
      <w:r/>
    </w:p>
    <w:p>
      <w:pPr>
        <w:pStyle w:val="860"/>
        <w:ind w:firstLine="321"/>
        <w:jc w:val="center"/>
        <w:spacing w:line="360" w:lineRule="auto"/>
        <w:rPr>
          <w:color w:val="auto"/>
          <w:highlight w:val="none"/>
        </w:rPr>
        <w:outlineLvl w:val="1"/>
      </w:pPr>
      <w:r/>
      <w:bookmarkStart w:id="75" w:name="_Toc514054484"/>
      <w:r/>
      <w:bookmarkStart w:id="76" w:name="_Toc26779"/>
      <w:r>
        <w:rPr>
          <w:color w:val="auto"/>
          <w:highlight w:val="none"/>
        </w:rPr>
        <w:t xml:space="preserve">封面</w:t>
      </w:r>
      <w:bookmarkEnd w:id="75"/>
      <w:r/>
      <w:bookmarkEnd w:id="76"/>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61"/>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61"/>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61"/>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61"/>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spacing w:line="360" w:lineRule="auto"/>
        <w:rPr>
          <w:color w:val="auto"/>
          <w:highlight w:val="none"/>
        </w:rPr>
      </w:pPr>
      <w:r>
        <w:rPr>
          <w:color w:val="auto"/>
          <w:highlight w:val="none"/>
        </w:rPr>
      </w:r>
      <w:r/>
    </w:p>
    <w:p>
      <w:pPr>
        <w:pStyle w:val="862"/>
        <w:jc w:val="center"/>
        <w:spacing w:line="360" w:lineRule="auto"/>
        <w:rPr>
          <w:color w:val="auto"/>
          <w:highlight w:val="none"/>
        </w:rPr>
        <w:outlineLvl w:val="1"/>
      </w:pPr>
      <w:r>
        <w:rPr>
          <w:color w:val="auto"/>
          <w:highlight w:val="none"/>
        </w:rPr>
        <w:br w:type="page" w:clear="all"/>
      </w:r>
      <w:bookmarkStart w:id="77" w:name="_Toc11482"/>
      <w:r/>
      <w:bookmarkStart w:id="78" w:name="_Toc514054485"/>
      <w:r/>
      <w:r/>
    </w:p>
    <w:p>
      <w:pPr>
        <w:pStyle w:val="862"/>
        <w:jc w:val="center"/>
        <w:spacing w:line="360" w:lineRule="auto"/>
        <w:rPr>
          <w:color w:val="auto"/>
          <w:highlight w:val="none"/>
        </w:rPr>
        <w:outlineLvl w:val="1"/>
      </w:pPr>
      <w:r>
        <w:rPr>
          <w:color w:val="auto"/>
          <w:highlight w:val="none"/>
        </w:rPr>
      </w:r>
      <w:r/>
    </w:p>
    <w:p>
      <w:pPr>
        <w:pStyle w:val="862"/>
        <w:jc w:val="center"/>
        <w:spacing w:line="360" w:lineRule="auto"/>
        <w:rPr>
          <w:color w:val="auto"/>
          <w:highlight w:val="none"/>
        </w:rPr>
        <w:outlineLvl w:val="1"/>
      </w:pPr>
      <w:r>
        <w:rPr>
          <w:color w:val="auto"/>
          <w:highlight w:val="none"/>
        </w:rPr>
        <w:t xml:space="preserve">目录</w:t>
      </w:r>
      <w:bookmarkEnd w:id="77"/>
      <w:r/>
      <w:bookmarkEnd w:id="78"/>
      <w:r/>
      <w:r/>
    </w:p>
    <w:p>
      <w:pPr>
        <w:pStyle w:val="863"/>
        <w:spacing w:after="100" w:afterAutospacing="1" w:line="360" w:lineRule="auto"/>
        <w:rPr>
          <w:color w:val="auto"/>
          <w:highlight w:val="none"/>
        </w:rPr>
      </w:pPr>
      <w:r>
        <w:rPr>
          <w:rFonts w:ascii="宋体" w:hAnsi="宋体" w:eastAsia="宋体" w:cs="宋体"/>
          <w:color w:val="auto"/>
          <w:highlight w:val="none"/>
        </w:rPr>
        <w:t xml:space="preserve">一、投标人基本情况</w:t>
      </w:r>
      <w:r/>
    </w:p>
    <w:p>
      <w:pPr>
        <w:pStyle w:val="863"/>
        <w:spacing w:after="100" w:afterAutospacing="1" w:line="360" w:lineRule="auto"/>
        <w:rPr>
          <w:color w:val="auto"/>
          <w:highlight w:val="none"/>
        </w:rPr>
      </w:pPr>
      <w:r>
        <w:rPr>
          <w:rFonts w:ascii="宋体" w:hAnsi="宋体" w:eastAsia="宋体" w:cs="宋体"/>
          <w:color w:val="auto"/>
          <w:highlight w:val="none"/>
        </w:rPr>
        <w:t xml:space="preserve">二、投标人资质</w:t>
      </w:r>
      <w:r/>
    </w:p>
    <w:p>
      <w:pPr>
        <w:pStyle w:val="863"/>
        <w:spacing w:after="100" w:afterAutospacing="1" w:line="360" w:lineRule="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863"/>
        <w:spacing w:after="100" w:afterAutospacing="1" w:line="360" w:lineRule="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863"/>
        <w:spacing w:after="100" w:afterAutospacing="1" w:line="360" w:lineRule="auto"/>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863"/>
        <w:spacing w:after="100" w:afterAutospacing="1" w:line="360" w:lineRule="auto"/>
        <w:rPr>
          <w:color w:val="auto"/>
          <w:highlight w:val="none"/>
        </w:rPr>
      </w:pPr>
      <w:r>
        <w:rPr>
          <w:rFonts w:ascii="宋体" w:hAnsi="宋体" w:eastAsia="宋体" w:cs="宋体"/>
          <w:color w:val="auto"/>
          <w:highlight w:val="none"/>
        </w:rPr>
        <w:t xml:space="preserve">六、无重大违法行为声明</w:t>
      </w:r>
      <w:r/>
    </w:p>
    <w:p>
      <w:pPr>
        <w:pStyle w:val="863"/>
        <w:spacing w:after="100" w:afterAutospacing="1" w:line="360" w:lineRule="auto"/>
        <w:rPr>
          <w:color w:val="auto"/>
          <w:highlight w:val="none"/>
        </w:rPr>
      </w:pPr>
      <w:r>
        <w:rPr>
          <w:rFonts w:ascii="宋体" w:hAnsi="宋体" w:eastAsia="宋体" w:cs="宋体"/>
          <w:color w:val="auto"/>
          <w:highlight w:val="none"/>
        </w:rPr>
        <w:t xml:space="preserve">七、投标函</w:t>
      </w:r>
      <w:r/>
    </w:p>
    <w:p>
      <w:pPr>
        <w:pStyle w:val="863"/>
        <w:spacing w:after="100" w:afterAutospacing="1" w:line="360" w:lineRule="auto"/>
        <w:rPr>
          <w:color w:val="auto"/>
          <w:highlight w:val="none"/>
        </w:rPr>
      </w:pPr>
      <w:r>
        <w:rPr>
          <w:rFonts w:ascii="宋体" w:hAnsi="宋体" w:eastAsia="宋体" w:cs="宋体"/>
          <w:color w:val="auto"/>
          <w:highlight w:val="none"/>
        </w:rPr>
        <w:t xml:space="preserve">八、法定代表人身份证明或授权委托书</w:t>
      </w:r>
      <w:r/>
    </w:p>
    <w:p>
      <w:pPr>
        <w:pStyle w:val="863"/>
        <w:spacing w:after="100" w:afterAutospacing="1" w:line="360" w:lineRule="auto"/>
        <w:rPr>
          <w:color w:val="auto"/>
          <w:highlight w:val="none"/>
        </w:rPr>
      </w:pPr>
      <w:r>
        <w:rPr>
          <w:rFonts w:ascii="宋体" w:hAnsi="宋体" w:eastAsia="宋体" w:cs="宋体"/>
          <w:color w:val="auto"/>
          <w:highlight w:val="none"/>
        </w:rPr>
        <w:t xml:space="preserve">九、开标一览表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十、明细报价表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十一、中小企业声明函</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十二、响应偏差表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十三、所投产品技术资料或样本等</w:t>
      </w:r>
      <w:r/>
    </w:p>
    <w:p>
      <w:pPr>
        <w:pStyle w:val="863"/>
        <w:spacing w:after="100" w:afterAutospacing="1" w:line="360" w:lineRule="auto"/>
        <w:rPr>
          <w:color w:val="auto"/>
          <w:highlight w:val="none"/>
        </w:rPr>
      </w:pPr>
      <w:r>
        <w:rPr>
          <w:rFonts w:ascii="宋体" w:hAnsi="宋体" w:eastAsia="宋体" w:cs="宋体"/>
          <w:color w:val="auto"/>
          <w:highlight w:val="none"/>
        </w:rPr>
        <w:t xml:space="preserve">十四、主要部件、辅材明细表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十五、</w:t>
      </w:r>
      <w:bookmarkStart w:id="79"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9"/>
      <w:r/>
      <w:r/>
    </w:p>
    <w:p>
      <w:pPr>
        <w:pStyle w:val="863"/>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、项目业绩一览表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、投标所需其他材料</w:t>
      </w:r>
      <w:r/>
    </w:p>
    <w:p>
      <w:pPr>
        <w:pStyle w:val="864"/>
        <w:spacing w:line="360" w:lineRule="auto"/>
        <w:rPr>
          <w:color w:val="auto"/>
          <w:highlight w:val="none"/>
        </w:rPr>
        <w:outlineLvl w:val="1"/>
      </w:pPr>
      <w:r>
        <w:rPr>
          <w:color w:val="auto"/>
          <w:highlight w:val="none"/>
        </w:rPr>
        <w:br w:type="page" w:clear="all"/>
      </w:r>
      <w:bookmarkStart w:id="80" w:name="_Toc23205_WPSOffice_Level2"/>
      <w:r/>
      <w:bookmarkStart w:id="81" w:name="_Toc514054486"/>
      <w:r/>
      <w:bookmarkStart w:id="82" w:name="_Toc21292"/>
      <w:r>
        <w:rPr>
          <w:color w:val="auto"/>
          <w:highlight w:val="none"/>
        </w:rPr>
        <w:t xml:space="preserve">一、投标人基本情况</w:t>
      </w:r>
      <w:bookmarkEnd w:id="80"/>
      <w:r/>
      <w:bookmarkEnd w:id="81"/>
      <w:r/>
      <w:bookmarkEnd w:id="82"/>
      <w:r/>
      <w:r/>
    </w:p>
    <w:p>
      <w:pPr>
        <w:pStyle w:val="865"/>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865"/>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865"/>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866"/>
        <w:spacing w:line="360" w:lineRule="auto"/>
        <w:rPr>
          <w:rFonts w:hint="eastAsia"/>
          <w:color w:val="auto"/>
          <w:highlight w:val="none"/>
        </w:rPr>
        <w:outlineLvl w:val="1"/>
      </w:pPr>
      <w:r>
        <w:rPr>
          <w:color w:val="auto"/>
          <w:highlight w:val="none"/>
        </w:rPr>
        <w:br w:type="page" w:clear="all"/>
      </w:r>
      <w:bookmarkStart w:id="83" w:name="_Toc514054487"/>
      <w:r/>
      <w:bookmarkStart w:id="84" w:name="_Toc30260_WPSOffice_Level2"/>
      <w:r/>
      <w:bookmarkStart w:id="85"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3"/>
      <w:r/>
      <w:bookmarkEnd w:id="84"/>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5"/>
      <w:r/>
      <w:r/>
    </w:p>
    <w:p>
      <w:pPr>
        <w:pStyle w:val="867"/>
        <w:spacing w:line="360" w:lineRule="auto"/>
        <w:rPr>
          <w:rFonts w:hint="eastAsia"/>
          <w:color w:val="auto"/>
          <w:highlight w:val="none"/>
        </w:rPr>
      </w:pPr>
      <w:r>
        <w:rPr>
          <w:rFonts w:hint="eastAsia"/>
          <w:color w:val="auto"/>
          <w:highlight w:val="none"/>
        </w:rPr>
        <w:t xml:space="preserve">    </w:t>
      </w:r>
      <w:bookmarkStart w:id="86" w:name="_Toc21452_WPSOffice_Level2"/>
      <w:r/>
      <w:bookmarkStart w:id="87" w:name="_Toc514054488"/>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color w:val="auto"/>
          <w:highlight w:val="none"/>
        </w:rPr>
        <w:outlineLvl w:val="1"/>
      </w:pPr>
      <w:r/>
      <w:bookmarkStart w:id="88" w:name="_Toc18935"/>
      <w:r>
        <w:rPr>
          <w:color w:val="auto"/>
          <w:highlight w:val="none"/>
        </w:rPr>
        <w:t xml:space="preserve">三、投标人</w:t>
      </w:r>
      <w:bookmarkEnd w:id="86"/>
      <w:r/>
      <w:bookmarkEnd w:id="87"/>
      <w:r/>
      <w:bookmarkEnd w:id="88"/>
      <w:r>
        <w:rPr>
          <w:rFonts w:hint="eastAsia" w:ascii="宋体" w:hAnsi="宋体" w:cs="Arial"/>
          <w:bCs/>
          <w:color w:val="auto"/>
          <w:highlight w:val="none"/>
        </w:rPr>
        <w:t xml:space="preserve">具有良好的商业信誉和健全的财务会计制度</w:t>
      </w:r>
      <w:r/>
    </w:p>
    <w:p>
      <w:pPr>
        <w:pStyle w:val="868"/>
        <w:spacing w:line="360" w:lineRule="auto"/>
        <w:rPr>
          <w:color w:val="auto"/>
          <w:highlight w:val="none"/>
        </w:rPr>
      </w:pPr>
      <w:r>
        <w:rPr>
          <w:rFonts w:hint="eastAsia" w:ascii="宋体"/>
          <w:bCs/>
          <w:color w:val="auto"/>
          <w:szCs w:val="32"/>
          <w:highlight w:val="none"/>
        </w:rPr>
        <w:t xml:space="preserve">提供符合招标文件要求的资料</w:t>
      </w:r>
      <w:r/>
    </w:p>
    <w:p>
      <w:pPr>
        <w:pStyle w:val="869"/>
        <w:spacing w:line="360" w:lineRule="auto"/>
        <w:rPr>
          <w:color w:val="auto"/>
          <w:highlight w:val="none"/>
        </w:rPr>
        <w:outlineLvl w:val="1"/>
      </w:pPr>
      <w:r>
        <w:rPr>
          <w:color w:val="auto"/>
          <w:highlight w:val="none"/>
        </w:rPr>
        <w:br w:type="page" w:clear="all"/>
      </w:r>
      <w:bookmarkStart w:id="89" w:name="_Toc11562_WPSOffice_Level2"/>
      <w:r/>
      <w:bookmarkStart w:id="90" w:name="_Toc514054489"/>
      <w:r/>
      <w:bookmarkStart w:id="91" w:name="_Toc29626"/>
      <w:r>
        <w:rPr>
          <w:color w:val="auto"/>
          <w:highlight w:val="none"/>
        </w:rPr>
        <w:t xml:space="preserve">四、</w:t>
      </w:r>
      <w:bookmarkEnd w:id="89"/>
      <w:r/>
      <w:bookmarkEnd w:id="90"/>
      <w:r/>
      <w:bookmarkEnd w:id="91"/>
      <w:r>
        <w:rPr>
          <w:rFonts w:hint="eastAsia" w:ascii="宋体" w:hAnsi="宋体" w:cs="Arial"/>
          <w:bCs/>
          <w:color w:val="auto"/>
          <w:highlight w:val="none"/>
        </w:rPr>
        <w:t xml:space="preserve">具有履行合同所必需的设备和专业技术能力</w:t>
      </w:r>
      <w:r/>
    </w:p>
    <w:p>
      <w:pPr>
        <w:pStyle w:val="870"/>
        <w:jc w:val="center"/>
        <w:spacing w:line="360" w:lineRule="auto"/>
        <w:rPr>
          <w:rFonts w:hint="eastAsia" w:ascii="宋体" w:hAnsi="宋体"/>
          <w:b/>
          <w:color w:val="auto"/>
          <w:sz w:val="32"/>
          <w:szCs w:val="24"/>
          <w:highlight w:val="none"/>
        </w:rPr>
      </w:pPr>
      <w:r/>
      <w:bookmarkStart w:id="92" w:name="_Toc31740_WPSOffice_Level2"/>
      <w:r/>
      <w:r/>
    </w:p>
    <w:p>
      <w:pPr>
        <w:pStyle w:val="870"/>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2"/>
      <w:r/>
      <w:r/>
    </w:p>
    <w:p>
      <w:pPr>
        <w:pStyle w:val="87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7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87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87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0"/>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2"/>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63"/>
        <w:spacing w:after="100" w:afterAutospacing="1" w:line="360" w:lineRule="auto"/>
        <w:rPr>
          <w:rFonts w:hint="eastAsia" w:ascii="宋体" w:hAnsi="宋体" w:cs="Arial"/>
          <w:bCs/>
          <w:color w:val="auto"/>
          <w:highlight w:val="none"/>
        </w:rPr>
      </w:pPr>
      <w:r>
        <w:rPr>
          <w:color w:val="auto"/>
          <w:highlight w:val="none"/>
        </w:rPr>
        <w:br w:type="page" w:clear="all"/>
      </w:r>
      <w:bookmarkStart w:id="93" w:name="_Toc13419"/>
      <w:r/>
      <w:bookmarkStart w:id="94" w:name="_Toc514054490"/>
      <w:r/>
      <w:bookmarkStart w:id="95" w:name="_Toc467_WPSOffice_Level2"/>
      <w:r>
        <w:rPr>
          <w:rFonts w:hint="eastAsia" w:ascii="宋体" w:hAnsi="宋体" w:eastAsia="黑体" w:cs="Arial"/>
          <w:b/>
          <w:bCs/>
          <w:color w:val="auto"/>
          <w:sz w:val="32"/>
          <w:highlight w:val="none"/>
        </w:rPr>
        <w:t xml:space="preserve">五、</w:t>
      </w:r>
      <w:bookmarkEnd w:id="93"/>
      <w:r/>
      <w:bookmarkEnd w:id="94"/>
      <w:r/>
      <w:bookmarkEnd w:id="95"/>
      <w:r>
        <w:rPr>
          <w:rFonts w:hint="eastAsia" w:ascii="宋体" w:hAnsi="宋体" w:eastAsia="黑体" w:cs="Arial"/>
          <w:b/>
          <w:bCs/>
          <w:color w:val="auto"/>
          <w:sz w:val="32"/>
          <w:highlight w:val="none"/>
        </w:rPr>
        <w:t xml:space="preserve">有依法缴纳税收和社会保障资金的良好记录</w:t>
      </w:r>
      <w:r/>
    </w:p>
    <w:p>
      <w:pPr>
        <w:pStyle w:val="868"/>
        <w:spacing w:line="360" w:lineRule="auto"/>
        <w:rPr>
          <w:color w:val="auto"/>
          <w:highlight w:val="none"/>
        </w:rPr>
      </w:pPr>
      <w:r>
        <w:rPr>
          <w:rFonts w:hint="eastAsia" w:ascii="宋体"/>
          <w:bCs/>
          <w:color w:val="auto"/>
          <w:szCs w:val="32"/>
          <w:highlight w:val="none"/>
        </w:rPr>
        <w:t xml:space="preserve">提供符合招标文件要求的资料</w:t>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bookmarkStart w:id="96" w:name="_Toc514054491"/>
      <w:r/>
      <w:bookmarkStart w:id="97" w:name="_Toc5571_WPSOffice_Level2"/>
      <w:r/>
      <w:bookmarkStart w:id="98" w:name="_Toc19673"/>
      <w:r>
        <w:rPr>
          <w:color w:val="auto"/>
          <w:highlight w:val="none"/>
        </w:rPr>
        <w:t xml:space="preserve">六、无重大违法行为声明</w:t>
      </w:r>
      <w:bookmarkEnd w:id="96"/>
      <w:r/>
      <w:bookmarkEnd w:id="97"/>
      <w:r/>
      <w:bookmarkEnd w:id="98"/>
      <w:r/>
      <w:r/>
    </w:p>
    <w:p>
      <w:pPr>
        <w:pStyle w:val="875"/>
        <w:jc w:val="center"/>
        <w:spacing w:line="360" w:lineRule="auto"/>
        <w:tabs>
          <w:tab w:val="left" w:pos="1498" w:leader="none"/>
        </w:tabs>
        <w:rPr>
          <w:rFonts w:hint="eastAsia"/>
          <w:b/>
          <w:color w:val="auto"/>
          <w:sz w:val="32"/>
          <w:szCs w:val="32"/>
          <w:highlight w:val="none"/>
        </w:rPr>
      </w:pPr>
      <w:r/>
      <w:bookmarkStart w:id="99" w:name="_Toc7575_WPSOffice_Level2"/>
      <w:r>
        <w:rPr>
          <w:rFonts w:hint="eastAsia"/>
          <w:b/>
          <w:color w:val="auto"/>
          <w:sz w:val="32"/>
          <w:szCs w:val="32"/>
          <w:highlight w:val="none"/>
        </w:rPr>
        <w:t xml:space="preserve">无重大违法行为声明</w:t>
      </w:r>
      <w:bookmarkEnd w:id="99"/>
      <w:r/>
      <w:r/>
    </w:p>
    <w:p>
      <w:pPr>
        <w:pStyle w:val="875"/>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6"/>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77"/>
        <w:spacing w:line="360" w:lineRule="auto"/>
        <w:rPr>
          <w:color w:val="auto"/>
          <w:highlight w:val="none"/>
        </w:rPr>
        <w:outlineLvl w:val="1"/>
      </w:pPr>
      <w:r>
        <w:rPr>
          <w:color w:val="auto"/>
          <w:highlight w:val="none"/>
        </w:rPr>
        <w:br w:type="page" w:clear="all"/>
      </w:r>
      <w:bookmarkStart w:id="100" w:name="_Toc514054492"/>
      <w:r/>
      <w:bookmarkStart w:id="101" w:name="_Toc31956_WPSOffice_Level2"/>
      <w:r/>
      <w:bookmarkStart w:id="102" w:name="_Toc30396"/>
      <w:r/>
      <w:r/>
    </w:p>
    <w:p>
      <w:pPr>
        <w:pStyle w:val="877"/>
        <w:spacing w:line="360" w:lineRule="auto"/>
        <w:rPr>
          <w:color w:val="auto"/>
          <w:highlight w:val="none"/>
        </w:rPr>
        <w:outlineLvl w:val="1"/>
      </w:pPr>
      <w:r>
        <w:rPr>
          <w:color w:val="auto"/>
          <w:highlight w:val="none"/>
        </w:rPr>
        <w:t xml:space="preserve">七、投标函</w:t>
      </w:r>
      <w:bookmarkEnd w:id="100"/>
      <w:r/>
      <w:bookmarkEnd w:id="101"/>
      <w:r/>
      <w:bookmarkEnd w:id="102"/>
      <w:r/>
      <w:r/>
    </w:p>
    <w:p>
      <w:pPr>
        <w:pStyle w:val="878"/>
        <w:spacing w:line="360" w:lineRule="auto"/>
        <w:tabs>
          <w:tab w:val="left" w:pos="1498" w:leader="none"/>
        </w:tabs>
        <w:rPr>
          <w:rFonts w:hint="eastAsia" w:ascii="仿宋_GB2312" w:eastAsia="仿宋_GB2312"/>
          <w:color w:val="auto"/>
          <w:sz w:val="24"/>
          <w:szCs w:val="22"/>
          <w:highlight w:val="none"/>
        </w:rPr>
      </w:pPr>
      <w:r/>
      <w:bookmarkStart w:id="103" w:name="_Toc22395"/>
      <w:r/>
      <w:bookmarkStart w:id="104" w:name="_Toc514054493"/>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878"/>
        <w:numPr>
          <w:ilvl w:val="0"/>
          <w:numId w:val="5"/>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879"/>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879"/>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880"/>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3"/>
      <w:r/>
      <w:bookmarkEnd w:id="104"/>
      <w:r/>
      <w:r/>
    </w:p>
    <w:p>
      <w:pPr>
        <w:pStyle w:val="881"/>
        <w:jc w:val="center"/>
        <w:spacing w:line="360" w:lineRule="auto"/>
        <w:rPr>
          <w:rFonts w:ascii="宋体"/>
          <w:b/>
          <w:bCs/>
          <w:color w:val="auto"/>
          <w:sz w:val="32"/>
          <w:szCs w:val="32"/>
          <w:highlight w:val="none"/>
        </w:rPr>
      </w:pPr>
      <w:r/>
      <w:bookmarkStart w:id="105" w:name="_Toc22626_WPSOffice_Level2"/>
      <w:r/>
      <w:r/>
    </w:p>
    <w:p>
      <w:pPr>
        <w:pStyle w:val="881"/>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5"/>
      <w:r/>
      <w:r/>
    </w:p>
    <w:p>
      <w:pPr>
        <w:pStyle w:val="882"/>
        <w:spacing w:line="360" w:lineRule="auto"/>
        <w:rPr>
          <w:rFonts w:eastAsia="仿宋_GB2312"/>
          <w:color w:val="auto"/>
          <w:sz w:val="24"/>
          <w:highlight w:val="none"/>
        </w:rPr>
      </w:pPr>
      <w:r>
        <w:rPr>
          <w:rFonts w:eastAsia="仿宋_GB2312"/>
          <w:color w:val="auto"/>
          <w:sz w:val="24"/>
          <w:highlight w:val="none"/>
        </w:rPr>
      </w:r>
      <w:r/>
    </w:p>
    <w:p>
      <w:pPr>
        <w:pStyle w:val="882"/>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882"/>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882"/>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882"/>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882"/>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883"/>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882"/>
        <w:ind w:firstLine="480"/>
        <w:spacing w:line="360" w:lineRule="auto"/>
        <w:rPr>
          <w:rFonts w:eastAsia="仿宋_GB2312"/>
          <w:color w:val="auto"/>
          <w:sz w:val="24"/>
          <w:highlight w:val="none"/>
        </w:rPr>
      </w:pPr>
      <w:r>
        <w:rPr>
          <w:rFonts w:eastAsia="仿宋_GB2312"/>
          <w:color w:val="auto"/>
          <w:sz w:val="24"/>
          <w:highlight w:val="none"/>
        </w:rPr>
      </w:r>
      <w:r/>
    </w:p>
    <w:p>
      <w:pPr>
        <w:pStyle w:val="882"/>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882"/>
        <w:jc w:val="right"/>
        <w:spacing w:line="360" w:lineRule="auto"/>
        <w:rPr>
          <w:rFonts w:eastAsia="仿宋_GB2312"/>
          <w:color w:val="auto"/>
          <w:sz w:val="24"/>
          <w:highlight w:val="none"/>
        </w:rPr>
      </w:pPr>
      <w:r>
        <w:rPr>
          <w:rFonts w:eastAsia="仿宋_GB2312"/>
          <w:color w:val="auto"/>
          <w:sz w:val="24"/>
          <w:highlight w:val="none"/>
        </w:rPr>
      </w:r>
      <w:r/>
    </w:p>
    <w:p>
      <w:pPr>
        <w:pStyle w:val="882"/>
        <w:jc w:val="right"/>
        <w:spacing w:line="360" w:lineRule="auto"/>
        <w:rPr>
          <w:rFonts w:eastAsia="仿宋_GB2312"/>
          <w:color w:val="auto"/>
          <w:sz w:val="24"/>
          <w:highlight w:val="none"/>
        </w:rPr>
      </w:pPr>
      <w:r>
        <w:rPr>
          <w:rFonts w:eastAsia="仿宋_GB2312"/>
          <w:color w:val="auto"/>
          <w:sz w:val="24"/>
          <w:highlight w:val="none"/>
        </w:rPr>
      </w:r>
      <w:r/>
    </w:p>
    <w:p>
      <w:pPr>
        <w:pStyle w:val="883"/>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1"/>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4"/>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1"/>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6" w:name="_Toc406_WPSOffice_Level2"/>
      <w:r/>
      <w:r/>
    </w:p>
    <w:p>
      <w:pPr>
        <w:pStyle w:val="881"/>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881"/>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6"/>
      <w:r/>
      <w:r/>
    </w:p>
    <w:p>
      <w:pPr>
        <w:pStyle w:val="881"/>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882"/>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881"/>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881"/>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881"/>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5"/>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885"/>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881"/>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1"/>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1"/>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6"/>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7"/>
        <w:spacing w:line="360" w:lineRule="auto"/>
        <w:rPr>
          <w:rFonts w:hint="eastAsia" w:eastAsia="黑体"/>
          <w:color w:val="auto"/>
          <w:highlight w:val="none"/>
          <w:lang w:eastAsia="zh-CN"/>
        </w:rPr>
        <w:outlineLvl w:val="1"/>
      </w:pPr>
      <w:r>
        <w:rPr>
          <w:color w:val="auto"/>
          <w:highlight w:val="none"/>
        </w:rPr>
        <w:br w:type="page" w:clear="all"/>
      </w:r>
      <w:bookmarkStart w:id="107" w:name="_Toc514054494"/>
      <w:r/>
      <w:bookmarkStart w:id="108" w:name="_Toc12853"/>
      <w:r>
        <w:rPr>
          <w:color w:val="auto"/>
          <w:highlight w:val="none"/>
        </w:rPr>
        <w:t xml:space="preserve">九、开标一览表</w:t>
      </w:r>
      <w:bookmarkEnd w:id="107"/>
      <w:r/>
      <w:bookmarkEnd w:id="108"/>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887"/>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r>
      <w:r/>
    </w:p>
    <w:p>
      <w:pPr>
        <w:pStyle w:val="887"/>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项目编号：</w:t>
      </w: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JSZC-320900-JSHY-G2025-0507</w:t>
      </w:r>
      <w:r/>
      <w:r>
        <w:rPr>
          <w:rFonts w:hint="eastAsia" w:ascii="宋体" w:hAnsi="宋体" w:eastAsia="宋体" w:cs="宋体"/>
          <w:b w:val="0"/>
          <w:bCs/>
          <w:color w:val="auto"/>
          <w:sz w:val="24"/>
          <w:highlight w:val="none"/>
          <w:shd w:val="clear" w:color="auto" w:fill="ffffff" w:themeFill="background1"/>
        </w:rPr>
      </w:r>
      <w:r/>
    </w:p>
    <w:p>
      <w:pPr>
        <w:pStyle w:val="887"/>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货币单位：人民币元            </w:t>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2172"/>
        <w:gridCol w:w="2466"/>
      </w:tblGrid>
      <w:tr>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bookmarkStart w:id="109" w:name="OLE_LINK35"/>
            <w:r>
              <w:rPr>
                <w:rFonts w:hint="eastAsia" w:ascii="宋体" w:hAnsi="宋体" w:eastAsia="宋体" w:cs="宋体"/>
                <w:b w:val="0"/>
                <w:bCs/>
                <w:color w:val="auto"/>
                <w:sz w:val="24"/>
                <w:highlight w:val="none"/>
                <w:shd w:val="clear" w:color="auto" w:fill="ffffff" w:themeFill="background1"/>
              </w:rPr>
              <w:t xml:space="preserve">项目名称</w:t>
            </w:r>
            <w:bookmarkEnd w:id="109"/>
            <w:r/>
            <w:r/>
          </w:p>
        </w:tc>
        <w:tc>
          <w:tcPr>
            <w:tcW w:w="2172"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项目内容</w:t>
            </w:r>
            <w:r/>
          </w:p>
        </w:tc>
        <w:tc>
          <w:tcPr>
            <w:tcW w:w="2466"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 </w:t>
            </w:r>
            <w:r>
              <w:rPr>
                <w:rFonts w:hint="eastAsia" w:ascii="宋体" w:hAnsi="宋体" w:eastAsia="宋体" w:cs="宋体"/>
                <w:b w:val="0"/>
                <w:bCs/>
                <w:color w:val="auto"/>
                <w:sz w:val="24"/>
                <w:highlight w:val="none"/>
                <w:shd w:val="clear" w:color="auto"/>
                <w:lang w:eastAsia="zh-CN"/>
              </w:rPr>
              <w:t xml:space="preserve">盐城市中医院便携式彩色多普勒超声诊断系统采购项目</w:t>
            </w:r>
            <w:r/>
          </w:p>
        </w:tc>
        <w:tc>
          <w:tcPr>
            <w:tcW w:w="2172"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详见投标文件</w:t>
            </w:r>
            <w:r/>
          </w:p>
        </w:tc>
        <w:tc>
          <w:tcPr>
            <w:tcW w:w="2466"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_______________元</w:t>
            </w:r>
            <w:r/>
          </w:p>
        </w:tc>
      </w:tr>
      <w:tr>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总价（大写）：</w:t>
            </w:r>
            <w:r/>
          </w:p>
        </w:tc>
        <w:tc>
          <w:tcPr>
            <w:gridSpan w:val="2"/>
            <w:tcW w:w="4638" w:type="dxa"/>
            <w:vAlign w:val="center"/>
            <w:textDirection w:val="lrTb"/>
            <w:noWrap w:val="false"/>
          </w:tcPr>
          <w:p>
            <w:pPr>
              <w:pStyle w:val="887"/>
              <w:jc w:val="both"/>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金额大写</w:t>
            </w:r>
            <w:r/>
          </w:p>
        </w:tc>
      </w:tr>
    </w:tbl>
    <w:p>
      <w:pPr>
        <w:pStyle w:val="690"/>
        <w:jc w:val="right"/>
        <w:spacing w:line="360" w:lineRule="auto"/>
        <w:rPr>
          <w:color w:val="auto"/>
          <w:highlight w:val="none"/>
          <w:shd w:val="clear" w:color="auto" w:fill="ffffff" w:themeFill="background1"/>
        </w:rPr>
      </w:pPr>
      <w:r>
        <w:rPr>
          <w:color w:val="auto"/>
          <w:highlight w:val="none"/>
          <w:shd w:val="clear" w:color="auto" w:fill="ffffff" w:themeFill="background1"/>
        </w:rPr>
        <w:t xml:space="preserve"> </w:t>
      </w:r>
      <w:r/>
    </w:p>
    <w:p>
      <w:pPr>
        <w:jc w:val="right"/>
        <w:spacing w:line="360" w:lineRule="auto"/>
        <w:rPr>
          <w:color w:val="auto"/>
          <w:sz w:val="24"/>
          <w:highlight w:val="none"/>
        </w:rPr>
      </w:pPr>
      <w:r>
        <w:rPr>
          <w:rFonts w:hint="eastAsia"/>
          <w:color w:val="auto"/>
          <w:sz w:val="24"/>
          <w:highlight w:val="none"/>
        </w:rPr>
        <w:t xml:space="preserve">投标人公章：（电子签章）                                 </w:t>
      </w:r>
      <w:r/>
    </w:p>
    <w:p>
      <w:pPr>
        <w:jc w:val="right"/>
        <w:spacing w:line="360" w:lineRule="auto"/>
        <w:rPr>
          <w:color w:val="auto"/>
          <w:sz w:val="24"/>
          <w:highlight w:val="none"/>
        </w:rPr>
      </w:pPr>
      <w:r>
        <w:rPr>
          <w:color w:val="auto"/>
          <w:sz w:val="24"/>
          <w:highlight w:val="none"/>
        </w:rPr>
      </w:r>
      <w:r/>
    </w:p>
    <w:p>
      <w:pPr>
        <w:jc w:val="right"/>
        <w:spacing w:line="360" w:lineRule="auto"/>
        <w:rPr>
          <w:color w:val="auto"/>
          <w:sz w:val="24"/>
          <w:highlight w:val="none"/>
        </w:rPr>
      </w:pPr>
      <w:r>
        <w:rPr>
          <w:color w:val="auto"/>
          <w:sz w:val="24"/>
          <w:highlight w:val="none"/>
        </w:rPr>
      </w:r>
      <w:r/>
    </w:p>
    <w:p>
      <w:pPr>
        <w:jc w:val="center"/>
        <w:spacing w:line="360" w:lineRule="auto"/>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日期：       年      月      日</w:t>
      </w:r>
      <w:r/>
    </w:p>
    <w:p>
      <w:pPr>
        <w:pStyle w:val="888"/>
        <w:spacing w:line="360" w:lineRule="auto"/>
        <w:rPr>
          <w:color w:val="auto"/>
          <w:highlight w:val="none"/>
        </w:rPr>
        <w:outlineLvl w:val="1"/>
      </w:pPr>
      <w:r>
        <w:rPr>
          <w:color w:val="auto"/>
          <w:highlight w:val="none"/>
        </w:rPr>
      </w:r>
      <w:r/>
    </w:p>
    <w:p>
      <w:pPr>
        <w:pStyle w:val="888"/>
        <w:spacing w:line="360" w:lineRule="auto"/>
        <w:rPr>
          <w:color w:val="auto"/>
          <w:highlight w:val="none"/>
        </w:rPr>
        <w:outlineLvl w:val="1"/>
      </w:pPr>
      <w:r>
        <w:rPr>
          <w:color w:val="auto"/>
          <w:highlight w:val="none"/>
        </w:rPr>
      </w:r>
      <w:r/>
    </w:p>
    <w:p>
      <w:pPr>
        <w:pStyle w:val="888"/>
        <w:spacing w:line="360" w:lineRule="auto"/>
        <w:rPr>
          <w:color w:val="auto"/>
          <w:highlight w:val="none"/>
        </w:rPr>
        <w:outlineLvl w:val="1"/>
      </w:pPr>
      <w:r>
        <w:rPr>
          <w:color w:val="auto"/>
          <w:highlight w:val="none"/>
        </w:rPr>
        <w:br w:type="page" w:clear="all"/>
      </w:r>
      <w:bookmarkStart w:id="110" w:name="_Toc514054495"/>
      <w:r/>
      <w:bookmarkStart w:id="111" w:name="_Toc8851"/>
      <w:r/>
      <w:r/>
    </w:p>
    <w:p>
      <w:pPr>
        <w:pStyle w:val="888"/>
        <w:spacing w:line="360" w:lineRule="auto"/>
        <w:rPr>
          <w:color w:val="auto"/>
          <w:highlight w:val="none"/>
        </w:rPr>
        <w:outlineLvl w:val="1"/>
      </w:pPr>
      <w:r>
        <w:rPr>
          <w:color w:val="auto"/>
          <w:highlight w:val="none"/>
        </w:rPr>
        <w:t xml:space="preserve">十、明细报价表</w:t>
      </w:r>
      <w:bookmarkEnd w:id="110"/>
      <w:r/>
      <w:bookmarkEnd w:id="111"/>
      <w:r/>
      <w:r/>
    </w:p>
    <w:tbl>
      <w:tblPr>
        <w:tblStyle w:val="67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560"/>
        <w:gridCol w:w="1812"/>
        <w:gridCol w:w="1944"/>
        <w:gridCol w:w="1128"/>
        <w:gridCol w:w="1200"/>
        <w:gridCol w:w="1424"/>
      </w:tblGrid>
      <w:tr>
        <w:trPr>
          <w:cantSplit/>
          <w:jc w:val="center"/>
          <w:trHeight w:val="632"/>
        </w:trPr>
        <w:tc>
          <w:tcPr>
            <w:tcW w:w="656"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560"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812"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128"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200"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w:t>
            </w:r>
            <w:r/>
          </w:p>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r>
      <w:tr>
        <w:trPr>
          <w:cantSplit/>
          <w:jc w:val="center"/>
          <w:trHeight w:val="482"/>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89"/>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560" w:type="dxa"/>
            <w:vAlign w:val="center"/>
            <w:textDirection w:val="lrTb"/>
            <w:noWrap w:val="false"/>
          </w:tcPr>
          <w:p>
            <w:pPr>
              <w:pStyle w:val="889"/>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812" w:type="dxa"/>
            <w:vAlign w:val="center"/>
            <w:textDirection w:val="lrTb"/>
            <w:noWrap w:val="false"/>
          </w:tcPr>
          <w:p>
            <w:pPr>
              <w:pStyle w:val="889"/>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89"/>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4"/>
            <w:tcW w:w="64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470"/>
        </w:trPr>
        <w:tc>
          <w:tcPr>
            <w:gridSpan w:val="2"/>
            <w:tcW w:w="2216" w:type="dxa"/>
            <w:vAlign w:val="center"/>
            <w:textDirection w:val="lrTb"/>
            <w:noWrap w:val="false"/>
          </w:tcPr>
          <w:p>
            <w:pPr>
              <w:pStyle w:val="889"/>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889"/>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508" w:type="dxa"/>
            <w:vAlign w:val="center"/>
            <w:textDirection w:val="lrTb"/>
            <w:noWrap w:val="false"/>
          </w:tcPr>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bl>
    <w:p>
      <w:pPr>
        <w:pStyle w:val="871"/>
        <w:ind w:firstLine="629"/>
        <w:spacing w:line="360" w:lineRule="auto"/>
        <w:rPr>
          <w:rFonts w:hint="eastAsia" w:ascii="仿宋_GB2312" w:eastAsia="仿宋_GB2312"/>
          <w:color w:val="auto"/>
          <w:sz w:val="24"/>
          <w:highlight w:val="none"/>
        </w:rPr>
      </w:pPr>
      <w:r/>
      <w:bookmarkStart w:id="112" w:name="_Toc514054496"/>
      <w:r>
        <w:rPr>
          <w:rFonts w:hint="eastAsia" w:ascii="仿宋_GB2312" w:eastAsia="仿宋_GB2312"/>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0"/>
        <w:spacing w:line="360" w:lineRule="auto"/>
        <w:rPr>
          <w:color w:val="auto"/>
          <w:highlight w:val="none"/>
        </w:rPr>
        <w:outlineLvl w:val="1"/>
      </w:pPr>
      <w:r>
        <w:rPr>
          <w:color w:val="auto"/>
          <w:highlight w:val="none"/>
        </w:rPr>
      </w:r>
      <w:r/>
    </w:p>
    <w:p>
      <w:pPr>
        <w:pStyle w:val="890"/>
        <w:ind w:firstLine="0"/>
        <w:spacing w:line="360" w:lineRule="auto"/>
        <w:rPr>
          <w:color w:val="auto"/>
          <w:highlight w:val="none"/>
        </w:rPr>
        <w:outlineLvl w:val="1"/>
      </w:pPr>
      <w:r>
        <w:rPr>
          <w:color w:val="auto"/>
          <w:highlight w:val="none"/>
        </w:rPr>
        <w:br w:type="page" w:clear="all"/>
      </w:r>
      <w:bookmarkStart w:id="113" w:name="_Toc10632"/>
      <w:r>
        <w:rPr>
          <w:color w:val="auto"/>
          <w:highlight w:val="none"/>
        </w:rPr>
        <w:t xml:space="preserve">十一、中小企业声明函</w:t>
      </w:r>
      <w:bookmarkEnd w:id="112"/>
      <w:r/>
      <w:bookmarkEnd w:id="113"/>
      <w:r/>
      <w:r/>
    </w:p>
    <w:p>
      <w:pPr>
        <w:jc w:val="center"/>
        <w:spacing w:line="360" w:lineRule="auto"/>
        <w:rPr>
          <w:rStyle w:val="891"/>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Style w:val="891"/>
          <w:rFonts w:hint="eastAsia" w:ascii="楷体" w:hAnsi="楷体" w:eastAsia="楷体" w:cs="楷体"/>
          <w:color w:val="auto"/>
          <w:sz w:val="32"/>
          <w:szCs w:val="32"/>
          <w:highlight w:val="none"/>
        </w:rPr>
      </w:pPr>
      <w:r>
        <w:rPr>
          <w:rStyle w:val="891"/>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690"/>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0"/>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690"/>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0"/>
        <w:ind w:firstLine="48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892"/>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894"/>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893"/>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893"/>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894"/>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94"/>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5"/>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5"/>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6"/>
        <w:spacing w:line="360" w:lineRule="auto"/>
        <w:rPr>
          <w:color w:val="auto"/>
          <w:highlight w:val="none"/>
        </w:rPr>
      </w:pPr>
      <w:r>
        <w:rPr>
          <w:color w:val="auto"/>
          <w:highlight w:val="none"/>
        </w:rPr>
      </w:r>
      <w:r/>
    </w:p>
    <w:p>
      <w:pPr>
        <w:pStyle w:val="893"/>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893"/>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4" w:name="_Toc5876"/>
      <w:r/>
      <w:bookmarkEnd w:id="114"/>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5" w:name="_Toc16386"/>
      <w:r/>
      <w:bookmarkEnd w:id="115"/>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6" w:name="_Toc1060"/>
      <w:r/>
      <w:bookmarkEnd w:id="116"/>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bookmarkStart w:id="117" w:name="_Toc16234"/>
      <w:r/>
      <w:bookmarkStart w:id="118" w:name="_Toc514054497"/>
      <w:r>
        <w:rPr>
          <w:color w:val="auto"/>
          <w:highlight w:val="none"/>
        </w:rPr>
        <w:t xml:space="preserve">十二、响应偏差表</w:t>
      </w:r>
      <w:bookmarkEnd w:id="117"/>
      <w:r/>
      <w:bookmarkEnd w:id="118"/>
      <w:r/>
      <w:r/>
    </w:p>
    <w:p>
      <w:pPr>
        <w:pStyle w:val="897"/>
        <w:jc w:val="center"/>
        <w:spacing w:line="360" w:lineRule="auto"/>
        <w:rPr>
          <w:rFonts w:hint="eastAsia"/>
          <w:color w:val="auto"/>
          <w:sz w:val="32"/>
          <w:szCs w:val="32"/>
          <w:highlight w:val="none"/>
        </w:rPr>
      </w:pPr>
      <w:r/>
      <w:bookmarkStart w:id="119" w:name="_Toc29509_WPSOffice_Level2"/>
      <w:r>
        <w:rPr>
          <w:rFonts w:hint="eastAsia"/>
          <w:color w:val="auto"/>
          <w:sz w:val="32"/>
          <w:szCs w:val="32"/>
          <w:highlight w:val="none"/>
        </w:rPr>
        <w:t xml:space="preserve">（一）投标技术响应偏差表</w:t>
      </w:r>
      <w:bookmarkEnd w:id="119"/>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97"/>
        <w:jc w:val="center"/>
        <w:spacing w:line="360" w:lineRule="auto"/>
        <w:rPr>
          <w:rFonts w:hint="eastAsia"/>
          <w:color w:val="auto"/>
          <w:sz w:val="22"/>
          <w:highlight w:val="none"/>
        </w:rPr>
      </w:pPr>
      <w:r>
        <w:rPr>
          <w:rFonts w:hint="eastAsia"/>
          <w:color w:val="auto"/>
          <w:sz w:val="2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8"/>
        <w:ind w:firstLine="482"/>
        <w:spacing w:line="360" w:lineRule="auto"/>
        <w:rPr>
          <w:rFonts w:hint="eastAsia" w:hAnsi="宋体"/>
          <w:b/>
          <w:bCs/>
          <w:color w:val="auto"/>
          <w:sz w:val="24"/>
          <w:szCs w:val="28"/>
          <w:highlight w:val="none"/>
        </w:rPr>
      </w:pPr>
      <w:r>
        <w:rPr>
          <w:rFonts w:hint="eastAsia" w:hAnsi="宋体"/>
          <w:b/>
          <w:bCs/>
          <w:color w:val="auto"/>
          <w:sz w:val="24"/>
          <w:szCs w:val="28"/>
          <w:highlight w:val="none"/>
        </w:rPr>
      </w:r>
      <w:r/>
    </w:p>
    <w:p>
      <w:pPr>
        <w:pStyle w:val="898"/>
        <w:spacing w:line="360" w:lineRule="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w:t>
      </w:r>
      <w:r>
        <w:rPr>
          <w:rFonts w:hint="eastAsia" w:hAnsi="宋体"/>
          <w:b/>
          <w:bCs/>
          <w:color w:val="auto"/>
          <w:sz w:val="24"/>
          <w:szCs w:val="28"/>
          <w:highlight w:val="none"/>
          <w:lang w:val="en-US" w:eastAsia="zh-CN"/>
        </w:rPr>
        <w:t xml:space="preserve">参数</w:t>
      </w:r>
      <w:r>
        <w:rPr>
          <w:rFonts w:hint="eastAsia" w:hAnsi="宋体"/>
          <w:b/>
          <w:bCs/>
          <w:color w:val="auto"/>
          <w:sz w:val="24"/>
          <w:szCs w:val="28"/>
          <w:highlight w:val="none"/>
        </w:rPr>
        <w:t xml:space="preserve">要求须逐条应答。</w:t>
      </w:r>
      <w:r/>
    </w:p>
    <w:p>
      <w:pPr>
        <w:pStyle w:val="897"/>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899"/>
        <w:spacing w:line="360" w:lineRule="auto"/>
        <w:rPr>
          <w:rFonts w:hint="eastAsia"/>
          <w:color w:val="auto"/>
          <w:highlight w:val="none"/>
        </w:rPr>
      </w:pPr>
      <w:r>
        <w:rPr>
          <w:rFonts w:hint="eastAsia" w:ascii="宋体" w:hAnsi="宋体"/>
          <w:b/>
          <w:bCs/>
          <w:color w:val="auto"/>
          <w:sz w:val="24"/>
          <w:szCs w:val="28"/>
          <w:highlight w:val="none"/>
        </w:rPr>
        <w:t xml:space="preserve">3、响应部分可后附详细说明及技术资料。</w:t>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outlineLvl w:val="1"/>
      </w:pPr>
      <w:r/>
      <w:bookmarkStart w:id="120" w:name="_Toc514054498"/>
      <w:r/>
      <w:bookmarkStart w:id="121" w:name="_Toc9396"/>
      <w:r/>
      <w:bookmarkStart w:id="122" w:name="_Toc3171_WPSOffice_Level2"/>
      <w:r>
        <w:rPr>
          <w:rFonts w:hint="eastAsia"/>
          <w:color w:val="auto"/>
          <w:highlight w:val="none"/>
          <w:lang w:eastAsia="zh-CN"/>
        </w:rPr>
        <w:t xml:space="preserve">（二）投标商务偏离表</w:t>
      </w:r>
      <w:bookmarkEnd w:id="120"/>
      <w:r/>
      <w:bookmarkEnd w:id="121"/>
      <w:r/>
      <w:bookmarkEnd w:id="122"/>
      <w:r/>
      <w:r/>
    </w:p>
    <w:tbl>
      <w:tblPr>
        <w:tblStyle w:val="671"/>
        <w:tblW w:w="8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078"/>
        <w:gridCol w:w="2146"/>
        <w:gridCol w:w="2760"/>
      </w:tblGrid>
      <w:tr>
        <w:trPr>
          <w:jc w:val="center"/>
          <w:trHeight w:val="672"/>
        </w:trPr>
        <w:tc>
          <w:tcPr>
            <w:tcW w:w="1449"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078"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146"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0"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7"/>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w:t>
      </w:r>
      <w:r>
        <w:rPr>
          <w:rFonts w:hint="eastAsia" w:ascii="宋体" w:hAnsi="宋体"/>
          <w:b/>
          <w:bCs/>
          <w:color w:val="auto"/>
          <w:sz w:val="24"/>
          <w:szCs w:val="28"/>
          <w:highlight w:val="none"/>
          <w:lang w:val="en-US" w:eastAsia="zh-CN"/>
        </w:rPr>
        <w:t xml:space="preserve">要求</w:t>
      </w:r>
      <w:r>
        <w:rPr>
          <w:rFonts w:hint="eastAsia" w:ascii="宋体" w:hAnsi="宋体"/>
          <w:b/>
          <w:bCs/>
          <w:color w:val="auto"/>
          <w:sz w:val="24"/>
          <w:szCs w:val="28"/>
          <w:highlight w:val="none"/>
        </w:rPr>
        <w:t xml:space="preserve">如与招标文件要求的不一致，则须在上表偏离说明中详细注明。</w:t>
      </w:r>
      <w:r/>
    </w:p>
    <w:p>
      <w:pPr>
        <w:pStyle w:val="900"/>
        <w:spacing w:line="360" w:lineRule="auto"/>
        <w:rPr>
          <w:color w:val="auto"/>
          <w:highlight w:val="none"/>
        </w:rPr>
        <w:outlineLvl w:val="1"/>
      </w:pPr>
      <w:r/>
      <w:bookmarkStart w:id="123" w:name="_Toc514054500"/>
      <w:r>
        <w:rPr>
          <w:color w:val="auto"/>
          <w:highlight w:val="none"/>
        </w:rPr>
        <w:br w:type="page" w:clear="all"/>
      </w:r>
      <w:bookmarkStart w:id="124" w:name="_Toc14591"/>
      <w:r>
        <w:rPr>
          <w:color w:val="auto"/>
          <w:highlight w:val="none"/>
        </w:rPr>
        <w:t xml:space="preserve">十三、所投产品技术资料或样本等</w:t>
      </w:r>
      <w:bookmarkEnd w:id="123"/>
      <w:r/>
      <w:bookmarkEnd w:id="124"/>
      <w:r/>
      <w:r/>
    </w:p>
    <w:p>
      <w:pPr>
        <w:pStyle w:val="901"/>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902"/>
        <w:spacing w:line="360" w:lineRule="auto"/>
        <w:rPr>
          <w:color w:val="auto"/>
          <w:highlight w:val="none"/>
        </w:rPr>
        <w:outlineLvl w:val="1"/>
      </w:pPr>
      <w:r>
        <w:rPr>
          <w:color w:val="auto"/>
          <w:highlight w:val="none"/>
        </w:rPr>
        <w:br w:type="page" w:clear="all"/>
      </w:r>
      <w:bookmarkStart w:id="125" w:name="_Toc23522_WPSOffice_Level2"/>
      <w:r/>
      <w:bookmarkStart w:id="126" w:name="_Toc514054501"/>
      <w:r/>
      <w:bookmarkStart w:id="127" w:name="_Toc27623"/>
      <w:r>
        <w:rPr>
          <w:color w:val="auto"/>
          <w:highlight w:val="none"/>
        </w:rPr>
        <w:t xml:space="preserve">十四、主要部件、辅材明细表</w:t>
      </w:r>
      <w:bookmarkEnd w:id="125"/>
      <w:r/>
      <w:bookmarkEnd w:id="126"/>
      <w:r/>
      <w:bookmarkEnd w:id="127"/>
      <w:r/>
      <w:r/>
    </w:p>
    <w:p>
      <w:pPr>
        <w:pStyle w:val="903"/>
        <w:spacing w:line="360" w:lineRule="auto"/>
        <w:rPr>
          <w:rFonts w:hint="eastAsia"/>
          <w:color w:val="auto"/>
          <w:highlight w:val="none"/>
        </w:rPr>
      </w:pPr>
      <w:r>
        <w:rPr>
          <w:rFonts w:hint="eastAsia"/>
          <w:color w:val="auto"/>
          <w:highlight w:val="none"/>
        </w:rPr>
      </w:r>
      <w:r/>
    </w:p>
    <w:tbl>
      <w:tblPr>
        <w:tblStyle w:val="671"/>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904"/>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04"/>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5"/>
        <w:spacing w:line="360" w:lineRule="auto"/>
        <w:rPr>
          <w:color w:val="auto"/>
          <w:highlight w:val="none"/>
        </w:rPr>
        <w:outlineLvl w:val="1"/>
      </w:pPr>
      <w:r>
        <w:rPr>
          <w:color w:val="auto"/>
          <w:highlight w:val="none"/>
        </w:rPr>
        <w:br w:type="page" w:clear="all"/>
      </w:r>
      <w:bookmarkStart w:id="128" w:name="_Toc15828"/>
      <w:r/>
      <w:bookmarkStart w:id="129" w:name="_Toc514054502"/>
      <w:r/>
      <w:bookmarkStart w:id="130" w:name="_Toc25001_WPSOffice_Level2"/>
      <w:r>
        <w:rPr>
          <w:color w:val="auto"/>
          <w:highlight w:val="none"/>
        </w:rPr>
        <w:t xml:space="preserve">十五、</w:t>
      </w:r>
      <w:r>
        <w:rPr>
          <w:rFonts w:hint="eastAsia"/>
          <w:color w:val="auto"/>
          <w:highlight w:val="none"/>
          <w:lang w:val="en-US" w:eastAsia="zh-CN"/>
        </w:rPr>
        <w:t xml:space="preserve">服务</w:t>
      </w:r>
      <w:r>
        <w:rPr>
          <w:color w:val="auto"/>
          <w:highlight w:val="none"/>
        </w:rPr>
        <w:t xml:space="preserve">方案</w:t>
      </w:r>
      <w:bookmarkEnd w:id="128"/>
      <w:r/>
      <w:bookmarkEnd w:id="129"/>
      <w:r/>
      <w:bookmarkEnd w:id="130"/>
      <w:r/>
      <w:r/>
    </w:p>
    <w:p>
      <w:pPr>
        <w:pStyle w:val="906"/>
        <w:jc w:val="center"/>
        <w:spacing w:line="360" w:lineRule="auto"/>
        <w:rPr>
          <w:rFonts w:hint="eastAsia" w:ascii="宋体"/>
          <w:b/>
          <w:bCs/>
          <w:color w:val="auto"/>
          <w:sz w:val="32"/>
          <w:szCs w:val="32"/>
          <w:highlight w:val="none"/>
        </w:rPr>
      </w:pPr>
      <w:r/>
      <w:bookmarkStart w:id="131" w:name="_Toc2882_WPSOffice_Level2"/>
      <w:r>
        <w:rPr>
          <w:rFonts w:hint="eastAsia" w:ascii="宋体"/>
          <w:b/>
          <w:bCs/>
          <w:color w:val="auto"/>
          <w:sz w:val="32"/>
          <w:szCs w:val="32"/>
          <w:highlight w:val="none"/>
        </w:rPr>
        <w:t xml:space="preserve">按照招标文件要求，格式自拟</w:t>
      </w:r>
      <w:bookmarkEnd w:id="131"/>
      <w:r/>
      <w:r/>
    </w:p>
    <w:p>
      <w:pPr>
        <w:pStyle w:val="907"/>
        <w:spacing w:line="360" w:lineRule="auto"/>
        <w:rPr>
          <w:color w:val="auto"/>
          <w:highlight w:val="none"/>
        </w:rPr>
        <w:outlineLvl w:val="1"/>
      </w:pPr>
      <w:r>
        <w:rPr>
          <w:color w:val="auto"/>
          <w:highlight w:val="none"/>
        </w:rPr>
        <w:br w:type="page" w:clear="all"/>
      </w:r>
      <w:bookmarkStart w:id="132" w:name="_Toc30208_WPSOffice_Level2"/>
      <w:r/>
      <w:bookmarkStart w:id="133" w:name="_Toc514054504"/>
      <w:r/>
      <w:bookmarkStart w:id="134" w:name="_Toc5519"/>
      <w:r>
        <w:rPr>
          <w:color w:val="auto"/>
          <w:highlight w:val="none"/>
        </w:rPr>
        <w:t xml:space="preserve">十</w:t>
      </w:r>
      <w:r>
        <w:rPr>
          <w:rFonts w:hint="eastAsia"/>
          <w:color w:val="auto"/>
          <w:highlight w:val="none"/>
          <w:lang w:val="en-US" w:eastAsia="zh-CN"/>
        </w:rPr>
        <w:t xml:space="preserve">六</w:t>
      </w:r>
      <w:r>
        <w:rPr>
          <w:color w:val="auto"/>
          <w:highlight w:val="none"/>
        </w:rPr>
        <w:t xml:space="preserve">、投标人项目业绩一览表</w:t>
      </w:r>
      <w:bookmarkEnd w:id="132"/>
      <w:r/>
      <w:bookmarkEnd w:id="133"/>
      <w:r/>
      <w:bookmarkEnd w:id="134"/>
      <w:r/>
      <w:r/>
    </w:p>
    <w:p>
      <w:pPr>
        <w:pStyle w:val="908"/>
        <w:jc w:val="center"/>
        <w:spacing w:line="360" w:lineRule="auto"/>
        <w:rPr>
          <w:b/>
          <w:color w:val="auto"/>
          <w:sz w:val="32"/>
          <w:szCs w:val="32"/>
          <w:highlight w:val="none"/>
        </w:rPr>
      </w:pPr>
      <w:r/>
      <w:bookmarkStart w:id="135" w:name="_Toc10294_WPSOffice_Level2"/>
      <w:r>
        <w:rPr>
          <w:rFonts w:hint="eastAsia"/>
          <w:b/>
          <w:color w:val="auto"/>
          <w:sz w:val="32"/>
          <w:szCs w:val="32"/>
          <w:highlight w:val="none"/>
        </w:rPr>
        <w:t xml:space="preserve">项目业绩一览表</w:t>
      </w:r>
      <w:bookmarkEnd w:id="135"/>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10"/>
        <w:spacing w:line="360" w:lineRule="auto"/>
        <w:rPr>
          <w:color w:val="auto"/>
          <w:highlight w:val="none"/>
        </w:rPr>
        <w:outlineLvl w:val="1"/>
      </w:pPr>
      <w:r>
        <w:rPr>
          <w:color w:val="auto"/>
          <w:highlight w:val="none"/>
        </w:rPr>
        <w:br w:type="page" w:clear="all"/>
      </w:r>
      <w:bookmarkStart w:id="136" w:name="_Toc502821163"/>
      <w:r/>
      <w:bookmarkStart w:id="137" w:name="_Toc15753"/>
      <w:r/>
      <w:bookmarkStart w:id="138" w:name="_Toc30836_WPSOffice_Level2"/>
      <w:r/>
      <w:bookmarkStart w:id="139" w:name="_Toc514054505"/>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、投标所需其他材料</w:t>
      </w:r>
      <w:bookmarkEnd w:id="136"/>
      <w:r/>
      <w:bookmarkEnd w:id="137"/>
      <w:r/>
      <w:bookmarkEnd w:id="138"/>
      <w:r/>
      <w:bookmarkEnd w:id="139"/>
      <w:r/>
      <w:r/>
    </w:p>
    <w:p>
      <w:pPr>
        <w:pStyle w:val="911"/>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10"/>
        <w:spacing w:line="360" w:lineRule="auto"/>
        <w:rPr>
          <w:color w:val="auto"/>
          <w:highlight w:val="none"/>
        </w:rPr>
        <w:outlineLvl w:val="1"/>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8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696"/>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7"/>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698"/>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699"/>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0"/>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1"/>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3"/>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4"/>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4">
    <w:name w:val="toa heading"/>
    <w:basedOn w:val="660"/>
    <w:next w:val="660"/>
    <w:uiPriority w:val="99"/>
    <w:unhideWhenUsed/>
    <w:qFormat/>
    <w:pPr>
      <w:spacing w:before="120"/>
    </w:pPr>
    <w:rPr>
      <w:rFonts w:ascii="Cambria" w:hAnsi="Cambria" w:eastAsia="宋体" w:cs="Times New Roman"/>
      <w:sz w:val="24"/>
      <w:szCs w:val="21"/>
    </w:rPr>
  </w:style>
  <w:style w:type="paragraph" w:styleId="675">
    <w:name w:val="Body Text"/>
    <w:basedOn w:val="660"/>
    <w:uiPriority w:val="0"/>
    <w:qFormat/>
    <w:pPr>
      <w:spacing w:line="60" w:lineRule="auto"/>
    </w:pPr>
    <w:rPr>
      <w:rFonts w:ascii="仿宋_GB2312" w:eastAsia="仿宋_GB2312"/>
      <w:sz w:val="32"/>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toc 8"/>
    <w:basedOn w:val="660"/>
    <w:next w:val="660"/>
    <w:uiPriority w:val="39"/>
    <w:unhideWhenUsed/>
    <w:qFormat/>
    <w:pPr>
      <w:ind w:left="1984" w:right="0" w:firstLine="0"/>
      <w:spacing w:after="57"/>
    </w:pPr>
  </w:style>
  <w:style w:type="paragraph" w:styleId="679">
    <w:name w:val="endnote text"/>
    <w:basedOn w:val="660"/>
    <w:link w:val="842"/>
    <w:uiPriority w:val="99"/>
    <w:semiHidden/>
    <w:unhideWhenUsed/>
    <w:qFormat/>
    <w:pPr>
      <w:spacing w:after="0" w:line="240" w:lineRule="auto"/>
    </w:pPr>
    <w:rPr>
      <w:sz w:val="20"/>
    </w:rPr>
  </w:style>
  <w:style w:type="paragraph" w:styleId="680">
    <w:name w:val="Footer"/>
    <w:basedOn w:val="660"/>
    <w:link w:val="715"/>
    <w:uiPriority w:val="99"/>
    <w:unhideWhenUsed/>
    <w:qFormat/>
    <w:pPr>
      <w:spacing w:after="0" w:line="240" w:lineRule="auto"/>
      <w:tabs>
        <w:tab w:val="center" w:pos="7143" w:leader="none"/>
        <w:tab w:val="right" w:pos="14287" w:leader="none"/>
      </w:tabs>
    </w:pPr>
  </w:style>
  <w:style w:type="paragraph" w:styleId="681">
    <w:name w:val="Header"/>
    <w:basedOn w:val="660"/>
    <w:link w:val="713"/>
    <w:uiPriority w:val="99"/>
    <w:unhideWhenUsed/>
    <w:qFormat/>
    <w:pPr>
      <w:spacing w:after="0" w:line="240" w:lineRule="auto"/>
      <w:tabs>
        <w:tab w:val="center" w:pos="7143" w:leader="none"/>
        <w:tab w:val="right" w:pos="14287" w:leader="none"/>
      </w:tabs>
    </w:pPr>
  </w:style>
  <w:style w:type="paragraph" w:styleId="682">
    <w:name w:val="toc 1"/>
    <w:basedOn w:val="660"/>
    <w:next w:val="660"/>
    <w:uiPriority w:val="39"/>
    <w:unhideWhenUsed/>
    <w:qFormat/>
    <w:pPr>
      <w:ind w:left="0" w:right="0" w:firstLine="0"/>
      <w:spacing w:after="57"/>
    </w:pPr>
  </w:style>
  <w:style w:type="paragraph" w:styleId="683">
    <w:name w:val="toc 4"/>
    <w:basedOn w:val="660"/>
    <w:next w:val="660"/>
    <w:uiPriority w:val="39"/>
    <w:unhideWhenUsed/>
    <w:qFormat/>
    <w:pPr>
      <w:ind w:left="850" w:right="0" w:firstLine="0"/>
      <w:spacing w:after="57"/>
    </w:pPr>
  </w:style>
  <w:style w:type="paragraph" w:styleId="684">
    <w:name w:val="Subtitle"/>
    <w:basedOn w:val="660"/>
    <w:next w:val="660"/>
    <w:link w:val="708"/>
    <w:uiPriority w:val="11"/>
    <w:qFormat/>
    <w:pPr>
      <w:spacing w:before="200" w:after="200"/>
    </w:pPr>
    <w:rPr>
      <w:sz w:val="24"/>
      <w:szCs w:val="24"/>
    </w:rPr>
  </w:style>
  <w:style w:type="paragraph" w:styleId="685">
    <w:name w:val="footnote text"/>
    <w:basedOn w:val="660"/>
    <w:link w:val="841"/>
    <w:uiPriority w:val="99"/>
    <w:semiHidden/>
    <w:unhideWhenUsed/>
    <w:qFormat/>
    <w:pPr>
      <w:spacing w:after="40" w:line="240" w:lineRule="auto"/>
    </w:pPr>
    <w:rPr>
      <w:sz w:val="18"/>
    </w:rPr>
  </w:style>
  <w:style w:type="paragraph" w:styleId="686">
    <w:name w:val="toc 6"/>
    <w:basedOn w:val="660"/>
    <w:next w:val="660"/>
    <w:uiPriority w:val="39"/>
    <w:unhideWhenUsed/>
    <w:qFormat/>
    <w:pPr>
      <w:ind w:left="1417" w:right="0" w:firstLine="0"/>
      <w:spacing w:after="57"/>
    </w:pPr>
  </w:style>
  <w:style w:type="paragraph" w:styleId="687">
    <w:name w:val="table of figures"/>
    <w:basedOn w:val="660"/>
    <w:next w:val="660"/>
    <w:uiPriority w:val="99"/>
    <w:unhideWhenUsed/>
    <w:qFormat/>
    <w:pPr>
      <w:spacing w:after="0" w:afterAutospacing="0"/>
    </w:pPr>
  </w:style>
  <w:style w:type="paragraph" w:styleId="688">
    <w:name w:val="toc 2"/>
    <w:basedOn w:val="660"/>
    <w:next w:val="660"/>
    <w:uiPriority w:val="39"/>
    <w:unhideWhenUsed/>
    <w:qFormat/>
    <w:pPr>
      <w:ind w:left="283" w:right="0" w:firstLine="0"/>
      <w:spacing w:after="57"/>
    </w:pPr>
  </w:style>
  <w:style w:type="paragraph" w:styleId="689">
    <w:name w:val="toc 9"/>
    <w:basedOn w:val="660"/>
    <w:next w:val="660"/>
    <w:uiPriority w:val="39"/>
    <w:unhideWhenUsed/>
    <w:qFormat/>
    <w:pPr>
      <w:ind w:left="2268" w:right="0" w:firstLine="0"/>
      <w:spacing w:after="57"/>
    </w:pPr>
  </w:style>
  <w:style w:type="paragraph" w:styleId="690">
    <w:name w:val="Normal (Web)"/>
    <w:basedOn w:val="660"/>
    <w:uiPriority w:val="0"/>
    <w:qFormat/>
    <w:pPr>
      <w:ind w:firstLine="562"/>
      <w:spacing w:beforeAutospacing="1" w:afterAutospacing="1"/>
    </w:pPr>
    <w:rPr>
      <w:b/>
      <w:sz w:val="28"/>
    </w:rPr>
  </w:style>
  <w:style w:type="paragraph" w:styleId="691">
    <w:name w:val="Title"/>
    <w:basedOn w:val="660"/>
    <w:next w:val="660"/>
    <w:link w:val="707"/>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basedOn w:val="670"/>
    <w:uiPriority w:val="99"/>
    <w:semiHidden/>
    <w:unhideWhenUsed/>
    <w:qFormat/>
    <w:rPr>
      <w:vertAlign w:val="superscript"/>
    </w:rPr>
  </w:style>
  <w:style w:type="character" w:styleId="694">
    <w:name w:val="Hyperlink"/>
    <w:uiPriority w:val="99"/>
    <w:unhideWhenUsed/>
    <w:qFormat/>
    <w:rPr>
      <w:color w:val="0026e5" w:themeColor="hyperlink"/>
      <w:u w:val="single"/>
      <w14:textFill>
        <w14:solidFill>
          <w14:schemeClr w14:val="hlink"/>
        </w14:solidFill>
      </w14:textFill>
    </w:rPr>
  </w:style>
  <w:style w:type="character" w:styleId="695">
    <w:name w:val="footnote reference"/>
    <w:basedOn w:val="670"/>
    <w:uiPriority w:val="99"/>
    <w:unhideWhenUsed/>
    <w:qFormat/>
    <w:rPr>
      <w:vertAlign w:val="superscript"/>
    </w:rPr>
  </w:style>
  <w:style w:type="character" w:styleId="696" w:customStyle="1">
    <w:name w:val="Heading 1 Char"/>
    <w:basedOn w:val="670"/>
    <w:link w:val="661"/>
    <w:uiPriority w:val="9"/>
    <w:qFormat/>
    <w:rPr>
      <w:rFonts w:ascii="Arial" w:hAnsi="Arial" w:eastAsia="Arial" w:cs="Arial"/>
      <w:sz w:val="40"/>
      <w:szCs w:val="40"/>
    </w:rPr>
  </w:style>
  <w:style w:type="character" w:styleId="697" w:customStyle="1">
    <w:name w:val="Heading 2 Char"/>
    <w:basedOn w:val="670"/>
    <w:link w:val="662"/>
    <w:uiPriority w:val="9"/>
    <w:qFormat/>
    <w:rPr>
      <w:rFonts w:ascii="Arial" w:hAnsi="Arial" w:eastAsia="Arial" w:cs="Arial"/>
      <w:sz w:val="34"/>
    </w:rPr>
  </w:style>
  <w:style w:type="character" w:styleId="698" w:customStyle="1">
    <w:name w:val="Heading 3 Char"/>
    <w:basedOn w:val="670"/>
    <w:link w:val="663"/>
    <w:uiPriority w:val="9"/>
    <w:qFormat/>
    <w:rPr>
      <w:rFonts w:ascii="Arial" w:hAnsi="Arial" w:eastAsia="Arial" w:cs="Arial"/>
      <w:sz w:val="30"/>
      <w:szCs w:val="30"/>
    </w:rPr>
  </w:style>
  <w:style w:type="character" w:styleId="699" w:customStyle="1">
    <w:name w:val="Heading 4 Char"/>
    <w:basedOn w:val="670"/>
    <w:link w:val="664"/>
    <w:uiPriority w:val="9"/>
    <w:qFormat/>
    <w:rPr>
      <w:rFonts w:ascii="Arial" w:hAnsi="Arial" w:eastAsia="Arial" w:cs="Arial"/>
      <w:b/>
      <w:bCs/>
      <w:sz w:val="26"/>
      <w:szCs w:val="26"/>
    </w:rPr>
  </w:style>
  <w:style w:type="character" w:styleId="700" w:customStyle="1">
    <w:name w:val="Heading 5 Char"/>
    <w:basedOn w:val="670"/>
    <w:link w:val="665"/>
    <w:uiPriority w:val="9"/>
    <w:qFormat/>
    <w:rPr>
      <w:rFonts w:ascii="Arial" w:hAnsi="Arial" w:eastAsia="Arial" w:cs="Arial"/>
      <w:b/>
      <w:bCs/>
      <w:sz w:val="24"/>
      <w:szCs w:val="24"/>
    </w:rPr>
  </w:style>
  <w:style w:type="character" w:styleId="701" w:customStyle="1">
    <w:name w:val="Heading 6 Char"/>
    <w:basedOn w:val="670"/>
    <w:link w:val="666"/>
    <w:uiPriority w:val="9"/>
    <w:qFormat/>
    <w:rPr>
      <w:rFonts w:ascii="Arial" w:hAnsi="Arial" w:eastAsia="Arial" w:cs="Arial"/>
      <w:b/>
      <w:bCs/>
      <w:sz w:val="22"/>
      <w:szCs w:val="22"/>
    </w:rPr>
  </w:style>
  <w:style w:type="character" w:styleId="702" w:customStyle="1">
    <w:name w:val="Heading 7 Char"/>
    <w:basedOn w:val="670"/>
    <w:link w:val="667"/>
    <w:uiPriority w:val="9"/>
    <w:qFormat/>
    <w:rPr>
      <w:rFonts w:ascii="Arial" w:hAnsi="Arial" w:eastAsia="Arial" w:cs="Arial"/>
      <w:b/>
      <w:bCs/>
      <w:i/>
      <w:iCs/>
      <w:sz w:val="22"/>
      <w:szCs w:val="22"/>
    </w:rPr>
  </w:style>
  <w:style w:type="character" w:styleId="703" w:customStyle="1">
    <w:name w:val="Heading 8 Char"/>
    <w:basedOn w:val="670"/>
    <w:link w:val="668"/>
    <w:uiPriority w:val="9"/>
    <w:qFormat/>
    <w:rPr>
      <w:rFonts w:ascii="Arial" w:hAnsi="Arial" w:eastAsia="Arial" w:cs="Arial"/>
      <w:i/>
      <w:iCs/>
      <w:sz w:val="22"/>
      <w:szCs w:val="22"/>
    </w:rPr>
  </w:style>
  <w:style w:type="character" w:styleId="704" w:customStyle="1">
    <w:name w:val="Heading 9 Char"/>
    <w:basedOn w:val="670"/>
    <w:link w:val="669"/>
    <w:uiPriority w:val="9"/>
    <w:qFormat/>
    <w:rPr>
      <w:rFonts w:ascii="Arial" w:hAnsi="Arial" w:eastAsia="Arial" w:cs="Arial"/>
      <w:i/>
      <w:iCs/>
      <w:sz w:val="21"/>
      <w:szCs w:val="21"/>
    </w:rPr>
  </w:style>
  <w:style w:type="paragraph" w:styleId="705">
    <w:name w:val="List Paragraph"/>
    <w:basedOn w:val="660"/>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basedOn w:val="670"/>
    <w:link w:val="691"/>
    <w:uiPriority w:val="10"/>
    <w:qFormat/>
    <w:rPr>
      <w:sz w:val="48"/>
      <w:szCs w:val="48"/>
    </w:rPr>
  </w:style>
  <w:style w:type="character" w:styleId="708" w:customStyle="1">
    <w:name w:val="Subtitle Char"/>
    <w:basedOn w:val="670"/>
    <w:link w:val="684"/>
    <w:uiPriority w:val="11"/>
    <w:qFormat/>
    <w:rPr>
      <w:sz w:val="24"/>
      <w:szCs w:val="24"/>
    </w:rPr>
  </w:style>
  <w:style w:type="paragraph" w:styleId="709">
    <w:name w:val="Quote"/>
    <w:basedOn w:val="660"/>
    <w:next w:val="660"/>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60"/>
    <w:next w:val="66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basedOn w:val="670"/>
    <w:link w:val="681"/>
    <w:uiPriority w:val="99"/>
    <w:qFormat/>
  </w:style>
  <w:style w:type="character" w:styleId="714" w:customStyle="1">
    <w:name w:val="Footer Char"/>
    <w:basedOn w:val="670"/>
    <w:link w:val="680"/>
    <w:uiPriority w:val="99"/>
    <w:qFormat/>
  </w:style>
  <w:style w:type="character" w:styleId="715" w:customStyle="1">
    <w:name w:val="Caption Char"/>
    <w:link w:val="680"/>
    <w:uiPriority w:val="99"/>
    <w:qFormat/>
  </w:style>
  <w:style w:type="table" w:styleId="716"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6"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5"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6"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7"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8"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9"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0"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2"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3"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4"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5"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6"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7"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9"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0"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1"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2"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3"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0"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1"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2"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3"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4"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5"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7"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2"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4"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5"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6"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7"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8"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9"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8"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9"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0"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1"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2"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3"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2"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3"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4"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5"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6"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7"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9" w:customStyle="1">
    <w:name w:val="Bordered &amp; Lined - Accent 2"/>
    <w:basedOn w:val="6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0" w:customStyle="1">
    <w:name w:val="Bordered &amp; Lined - Accent 3"/>
    <w:basedOn w:val="6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1" w:customStyle="1">
    <w:name w:val="Bordered &amp; Lined - Accent 4"/>
    <w:basedOn w:val="6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2"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3" w:customStyle="1">
    <w:name w:val="Bordered &amp; Lined - Accent 6"/>
    <w:basedOn w:val="6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4"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6"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7" w:customStyle="1">
    <w:name w:val="Bordered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8" w:customStyle="1">
    <w:name w:val="Bordered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9"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0" w:customStyle="1">
    <w:name w:val="Bordered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1" w:customStyle="1">
    <w:name w:val="Footnote Text Char"/>
    <w:link w:val="685"/>
    <w:uiPriority w:val="99"/>
    <w:qFormat/>
    <w:rPr>
      <w:sz w:val="18"/>
    </w:rPr>
  </w:style>
  <w:style w:type="character" w:styleId="842" w:customStyle="1">
    <w:name w:val="Endnote Text Char"/>
    <w:link w:val="679"/>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正文文本1"/>
    <w:basedOn w:val="660"/>
    <w:uiPriority w:val="0"/>
    <w:qFormat/>
    <w:pPr>
      <w:spacing w:line="60" w:lineRule="auto"/>
    </w:pPr>
    <w:rPr>
      <w:rFonts w:ascii="仿宋_GB2312" w:eastAsia="仿宋_GB2312"/>
      <w:sz w:val="32"/>
    </w:rPr>
  </w:style>
  <w:style w:type="paragraph" w:styleId="845" w:customStyle="1">
    <w:name w:val="WPSOffice手动目录 1"/>
    <w:uiPriority w:val="0"/>
    <w:qFormat/>
    <w:rPr>
      <w:rFonts w:hint="default" w:ascii="Times New Roman" w:hAnsi="Times New Roman" w:eastAsia="宋体" w:cs="Times New Roman"/>
      <w:lang w:val="en-US" w:eastAsia="zh-CN" w:bidi="ar-SA"/>
    </w:rPr>
  </w:style>
  <w:style w:type="paragraph" w:styleId="846" w:customStyle="1">
    <w:name w:val="WPSOffice手动目录 2"/>
    <w:uiPriority w:val="0"/>
    <w:qFormat/>
    <w:rPr>
      <w:rFonts w:hint="default" w:ascii="Times New Roman" w:hAnsi="Times New Roman" w:eastAsia="宋体" w:cs="Times New Roman"/>
      <w:lang w:val="en-US" w:eastAsia="zh-CN" w:bidi="ar-SA"/>
    </w:rPr>
  </w:style>
  <w:style w:type="paragraph" w:styleId="847" w:customStyle="1">
    <w:name w:val="列出段落1"/>
    <w:basedOn w:val="660"/>
    <w:uiPriority w:val="99"/>
    <w:qFormat/>
    <w:pPr>
      <w:ind w:firstLine="200"/>
    </w:pPr>
    <w:rPr>
      <w:rFonts w:ascii="Calibri" w:hAnsi="Calibri"/>
      <w:szCs w:val="22"/>
    </w:rPr>
  </w:style>
  <w:style w:type="paragraph" w:styleId="848" w:customStyle="1">
    <w:name w:val="列出段落"/>
    <w:basedOn w:val="660"/>
    <w:uiPriority w:val="34"/>
    <w:qFormat/>
    <w:pPr>
      <w:ind w:firstLine="420"/>
    </w:pPr>
  </w:style>
  <w:style w:type="paragraph" w:styleId="849" w:customStyle="1">
    <w:name w:val="列出段落2"/>
    <w:basedOn w:val="660"/>
    <w:uiPriority w:val="0"/>
    <w:qFormat/>
    <w:pPr>
      <w:ind w:firstLine="420"/>
    </w:pPr>
    <w:rPr>
      <w:rFonts w:ascii="Times New Roman" w:hAnsi="Times New Roman" w:eastAsia="宋体" w:cs="Times New Roman"/>
    </w:rPr>
  </w:style>
  <w:style w:type="paragraph" w:styleId="850"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851"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852" w:customStyle="1">
    <w:name w:val="Normal_0"/>
    <w:uiPriority w:val="0"/>
    <w:qFormat/>
    <w:rPr>
      <w:rFonts w:hint="default" w:ascii="黑体" w:hAnsi="黑体" w:eastAsia="黑体" w:cs="Times New Roman"/>
      <w:b/>
      <w:sz w:val="32"/>
      <w:szCs w:val="24"/>
      <w:lang w:bidi="ar-SA"/>
    </w:rPr>
  </w:style>
  <w:style w:type="paragraph" w:styleId="853" w:customStyle="1">
    <w:name w:val="正文文本缩进11"/>
    <w:basedOn w:val="660"/>
    <w:uiPriority w:val="0"/>
    <w:qFormat/>
    <w:pPr>
      <w:ind w:firstLine="225"/>
    </w:pPr>
    <w:rPr>
      <w:rFonts w:ascii="仿宋_GB2312" w:eastAsia="仿宋_GB2312"/>
      <w:sz w:val="32"/>
    </w:rPr>
  </w:style>
  <w:style w:type="paragraph" w:styleId="854" w:customStyle="1">
    <w:name w:val="普通正文"/>
    <w:basedOn w:val="660"/>
    <w:uiPriority w:val="0"/>
    <w:qFormat/>
    <w:pPr>
      <w:ind w:firstLine="425"/>
      <w:jc w:val="left"/>
    </w:pPr>
    <w:rPr>
      <w:rFonts w:ascii="宋体"/>
      <w:sz w:val="20"/>
      <w:szCs w:val="20"/>
    </w:rPr>
  </w:style>
  <w:style w:type="paragraph" w:styleId="855" w:customStyle="1">
    <w:name w:val="列出段落3"/>
    <w:basedOn w:val="660"/>
    <w:uiPriority w:val="0"/>
    <w:qFormat/>
    <w:pPr>
      <w:ind w:firstLine="420"/>
    </w:pPr>
    <w:rPr>
      <w:rFonts w:ascii="Times New Roman" w:hAnsi="Times New Roman" w:eastAsia="宋体" w:cs="Times New Roman"/>
      <w:szCs w:val="20"/>
    </w:rPr>
  </w:style>
  <w:style w:type="character" w:styleId="856" w:customStyle="1">
    <w:name w:val="NormalCharacter1"/>
    <w:link w:val="660"/>
    <w:uiPriority w:val="0"/>
    <w:semiHidden/>
    <w:qFormat/>
    <w:rPr>
      <w:rFonts w:hint="default" w:ascii="Times New Roman" w:hAnsi="Times New Roman" w:eastAsia="宋体" w:cs="Times New Roman"/>
      <w:sz w:val="21"/>
      <w:szCs w:val="22"/>
      <w:lang w:val="en-US" w:eastAsia="zh-CN" w:bidi="ar-SA"/>
    </w:rPr>
  </w:style>
  <w:style w:type="character" w:styleId="857" w:customStyle="1">
    <w:name w:val="wyg1"/>
    <w:link w:val="660"/>
    <w:uiPriority w:val="0"/>
    <w:qFormat/>
    <w:rPr>
      <w:color w:val="000000"/>
      <w:sz w:val="20"/>
      <w:szCs w:val="20"/>
      <w:u w:val="none"/>
    </w:rPr>
  </w:style>
  <w:style w:type="character" w:styleId="858" w:customStyle="1">
    <w:name w:val="s141"/>
    <w:link w:val="660"/>
    <w:uiPriority w:val="0"/>
    <w:qFormat/>
    <w:rPr>
      <w:rFonts w:ascii="_x000B__x000C_" w:hAnsi="_x000B__x000C_"/>
      <w:sz w:val="21"/>
      <w:szCs w:val="21"/>
    </w:rPr>
  </w:style>
  <w:style w:type="paragraph" w:styleId="859" w:customStyle="1">
    <w:name w:val="纯文本11"/>
    <w:basedOn w:val="660"/>
    <w:uiPriority w:val="0"/>
    <w:qFormat/>
    <w:rPr>
      <w:rFonts w:ascii="宋体"/>
      <w:szCs w:val="21"/>
    </w:rPr>
  </w:style>
  <w:style w:type="paragraph" w:styleId="860" w:customStyle="1">
    <w:name w:val="Normal_0_3"/>
    <w:uiPriority w:val="0"/>
    <w:qFormat/>
    <w:rPr>
      <w:rFonts w:hint="default" w:ascii="黑体" w:hAnsi="黑体" w:eastAsia="黑体" w:cs="Times New Roman"/>
      <w:b/>
      <w:sz w:val="32"/>
      <w:szCs w:val="24"/>
      <w:lang w:bidi="ar-SA"/>
    </w:rPr>
  </w:style>
  <w:style w:type="paragraph" w:styleId="86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customStyle="1">
    <w:name w:val="Normal_0_2"/>
    <w:uiPriority w:val="0"/>
    <w:qFormat/>
    <w:rPr>
      <w:rFonts w:hint="default" w:ascii="黑体" w:hAnsi="黑体" w:eastAsia="黑体" w:cs="Times New Roman"/>
      <w:b/>
      <w:sz w:val="32"/>
      <w:szCs w:val="24"/>
      <w:lang w:bidi="ar-SA"/>
    </w:rPr>
  </w:style>
  <w:style w:type="paragraph" w:styleId="863" w:customStyle="1">
    <w:name w:val="Normal_1_2"/>
    <w:uiPriority w:val="0"/>
    <w:qFormat/>
    <w:rPr>
      <w:rFonts w:hint="default" w:ascii="Times New Roman" w:hAnsi="Times New Roman" w:eastAsia="Times New Roman" w:cs="Times New Roman"/>
      <w:sz w:val="24"/>
      <w:szCs w:val="24"/>
      <w:lang w:bidi="ar-SA"/>
    </w:rPr>
  </w:style>
  <w:style w:type="paragraph" w:styleId="864" w:customStyle="1">
    <w:name w:val="Normal_0_1"/>
    <w:uiPriority w:val="0"/>
    <w:qFormat/>
    <w:rPr>
      <w:rFonts w:hint="default" w:ascii="黑体" w:hAnsi="黑体" w:eastAsia="黑体" w:cs="Times New Roman"/>
      <w:b/>
      <w:sz w:val="32"/>
      <w:szCs w:val="24"/>
      <w:lang w:bidi="ar-SA"/>
    </w:rPr>
  </w:style>
  <w:style w:type="paragraph" w:styleId="86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6" w:customStyle="1">
    <w:name w:val="Normal_1_1"/>
    <w:uiPriority w:val="0"/>
    <w:qFormat/>
    <w:rPr>
      <w:rFonts w:hint="default" w:ascii="黑体" w:hAnsi="黑体" w:eastAsia="黑体" w:cs="Times New Roman"/>
      <w:b/>
      <w:sz w:val="32"/>
      <w:szCs w:val="24"/>
      <w:lang w:bidi="ar-SA"/>
    </w:rPr>
  </w:style>
  <w:style w:type="paragraph" w:styleId="867" w:customStyle="1">
    <w:name w:val="Normal_2_0"/>
    <w:uiPriority w:val="0"/>
    <w:qFormat/>
    <w:rPr>
      <w:rFonts w:hint="default" w:ascii="黑体" w:hAnsi="黑体" w:eastAsia="黑体" w:cs="Times New Roman"/>
      <w:b/>
      <w:sz w:val="32"/>
      <w:szCs w:val="24"/>
      <w:lang w:bidi="ar-SA"/>
    </w:rPr>
  </w:style>
  <w:style w:type="paragraph" w:styleId="868"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9" w:customStyle="1">
    <w:name w:val="Normal_3_0"/>
    <w:uiPriority w:val="0"/>
    <w:qFormat/>
    <w:rPr>
      <w:rFonts w:hint="default" w:ascii="黑体" w:hAnsi="黑体" w:eastAsia="黑体" w:cs="Times New Roman"/>
      <w:b/>
      <w:sz w:val="32"/>
      <w:szCs w:val="24"/>
      <w:lang w:bidi="ar-SA"/>
    </w:rPr>
  </w:style>
  <w:style w:type="paragraph" w:styleId="870"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72"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customStyle="1">
    <w:name w:val="Normal_4_0"/>
    <w:uiPriority w:val="0"/>
    <w:qFormat/>
    <w:rPr>
      <w:rFonts w:hint="default" w:ascii="黑体" w:hAnsi="黑体" w:eastAsia="黑体" w:cs="Times New Roman"/>
      <w:b/>
      <w:sz w:val="32"/>
      <w:szCs w:val="24"/>
      <w:lang w:bidi="ar-SA"/>
    </w:rPr>
  </w:style>
  <w:style w:type="paragraph" w:styleId="874" w:customStyle="1">
    <w:name w:val="Normal_5_0"/>
    <w:uiPriority w:val="0"/>
    <w:qFormat/>
    <w:rPr>
      <w:rFonts w:hint="default" w:ascii="黑体" w:hAnsi="黑体" w:eastAsia="黑体" w:cs="Times New Roman"/>
      <w:b/>
      <w:sz w:val="32"/>
      <w:szCs w:val="24"/>
      <w:lang w:bidi="ar-SA"/>
    </w:rPr>
  </w:style>
  <w:style w:type="paragraph" w:styleId="875"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7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7" w:customStyle="1">
    <w:name w:val="Normal_6_0"/>
    <w:uiPriority w:val="0"/>
    <w:qFormat/>
    <w:rPr>
      <w:rFonts w:hint="default" w:ascii="黑体" w:hAnsi="黑体" w:eastAsia="黑体" w:cs="Times New Roman"/>
      <w:b/>
      <w:sz w:val="32"/>
      <w:szCs w:val="24"/>
      <w:lang w:bidi="ar-SA"/>
    </w:rPr>
  </w:style>
  <w:style w:type="paragraph" w:styleId="878"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Normal_7_0"/>
    <w:uiPriority w:val="0"/>
    <w:qFormat/>
    <w:rPr>
      <w:rFonts w:hint="default" w:ascii="黑体" w:hAnsi="黑体" w:eastAsia="黑体" w:cs="Times New Roman"/>
      <w:b/>
      <w:sz w:val="32"/>
      <w:szCs w:val="24"/>
      <w:lang w:bidi="ar-SA"/>
    </w:rPr>
  </w:style>
  <w:style w:type="paragraph" w:styleId="88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8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8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7" w:customStyle="1">
    <w:name w:val="Normal_8_0"/>
    <w:uiPriority w:val="0"/>
    <w:qFormat/>
    <w:rPr>
      <w:rFonts w:hint="default" w:ascii="黑体" w:hAnsi="黑体" w:eastAsia="黑体" w:cs="Times New Roman"/>
      <w:b/>
      <w:sz w:val="32"/>
      <w:szCs w:val="24"/>
      <w:lang w:bidi="ar-SA"/>
    </w:rPr>
  </w:style>
  <w:style w:type="paragraph" w:styleId="888" w:customStyle="1">
    <w:name w:val="Normal_10_0"/>
    <w:uiPriority w:val="0"/>
    <w:qFormat/>
    <w:rPr>
      <w:rFonts w:hint="default" w:ascii="黑体" w:hAnsi="黑体" w:eastAsia="黑体" w:cs="Times New Roman"/>
      <w:b/>
      <w:sz w:val="32"/>
      <w:szCs w:val="24"/>
      <w:lang w:bidi="ar-SA"/>
    </w:rPr>
  </w:style>
  <w:style w:type="paragraph" w:styleId="889"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0" w:customStyle="1">
    <w:name w:val="Normal_11_0"/>
    <w:uiPriority w:val="0"/>
    <w:qFormat/>
    <w:rPr>
      <w:rFonts w:hint="default" w:ascii="黑体" w:hAnsi="黑体" w:eastAsia="黑体" w:cs="Times New Roman"/>
      <w:b/>
      <w:sz w:val="32"/>
      <w:szCs w:val="24"/>
      <w:lang w:bidi="ar-SA"/>
    </w:rPr>
  </w:style>
  <w:style w:type="character" w:styleId="891" w:customStyle="1">
    <w:name w:val="要点1"/>
    <w:link w:val="660"/>
    <w:uiPriority w:val="0"/>
    <w:qFormat/>
    <w:rPr>
      <w:b/>
    </w:rPr>
  </w:style>
  <w:style w:type="paragraph" w:styleId="892" w:customStyle="1">
    <w:name w:val="标题 41"/>
    <w:basedOn w:val="660"/>
    <w:next w:val="66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3"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4"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5"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Normal_12_0"/>
    <w:uiPriority w:val="0"/>
    <w:qFormat/>
    <w:rPr>
      <w:rFonts w:hint="default" w:ascii="黑体" w:hAnsi="黑体" w:eastAsia="黑体" w:cs="Times New Roman"/>
      <w:b/>
      <w:sz w:val="32"/>
      <w:szCs w:val="24"/>
      <w:lang w:bidi="ar-SA"/>
    </w:rPr>
  </w:style>
  <w:style w:type="paragraph" w:styleId="8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纯文本_0_0"/>
    <w:basedOn w:val="897"/>
    <w:uiPriority w:val="0"/>
    <w:unhideWhenUsed/>
    <w:qFormat/>
    <w:rPr>
      <w:rFonts w:ascii="宋体" w:hAnsi="Courier New"/>
      <w:szCs w:val="21"/>
    </w:rPr>
  </w:style>
  <w:style w:type="paragraph" w:styleId="899"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0" w:customStyle="1">
    <w:name w:val="Normal_13_0"/>
    <w:uiPriority w:val="0"/>
    <w:qFormat/>
    <w:rPr>
      <w:rFonts w:hint="default" w:ascii="黑体" w:hAnsi="黑体" w:eastAsia="黑体" w:cs="Times New Roman"/>
      <w:b/>
      <w:sz w:val="32"/>
      <w:szCs w:val="24"/>
      <w:lang w:bidi="ar-SA"/>
    </w:rPr>
  </w:style>
  <w:style w:type="paragraph" w:styleId="90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Normal_14_0"/>
    <w:uiPriority w:val="0"/>
    <w:qFormat/>
    <w:rPr>
      <w:rFonts w:hint="default" w:ascii="黑体" w:hAnsi="黑体" w:eastAsia="黑体" w:cs="Times New Roman"/>
      <w:b/>
      <w:sz w:val="32"/>
      <w:szCs w:val="24"/>
      <w:lang w:bidi="ar-SA"/>
    </w:rPr>
  </w:style>
  <w:style w:type="paragraph" w:styleId="90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Normal_15_0"/>
    <w:uiPriority w:val="0"/>
    <w:qFormat/>
    <w:rPr>
      <w:rFonts w:hint="default" w:ascii="黑体" w:hAnsi="黑体" w:eastAsia="黑体" w:cs="Times New Roman"/>
      <w:b/>
      <w:sz w:val="32"/>
      <w:szCs w:val="24"/>
      <w:lang w:bidi="ar-SA"/>
    </w:rPr>
  </w:style>
  <w:style w:type="paragraph" w:styleId="90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17_0"/>
    <w:uiPriority w:val="0"/>
    <w:qFormat/>
    <w:rPr>
      <w:rFonts w:hint="default" w:ascii="黑体" w:hAnsi="黑体" w:eastAsia="黑体" w:cs="Times New Roman"/>
      <w:b/>
      <w:sz w:val="32"/>
      <w:szCs w:val="24"/>
      <w:lang w:bidi="ar-SA"/>
    </w:rPr>
  </w:style>
  <w:style w:type="paragraph" w:styleId="908"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Normal_18_0"/>
    <w:uiPriority w:val="0"/>
    <w:qFormat/>
    <w:rPr>
      <w:rFonts w:hint="default" w:ascii="黑体" w:hAnsi="黑体" w:eastAsia="黑体" w:cs="Times New Roman"/>
      <w:b/>
      <w:sz w:val="32"/>
      <w:szCs w:val="24"/>
      <w:lang w:bidi="ar-SA"/>
    </w:rPr>
  </w:style>
  <w:style w:type="paragraph" w:styleId="91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2" w:customStyle="1">
    <w:name w:val="页脚11"/>
    <w:basedOn w:val="660"/>
    <w:uiPriority w:val="99"/>
    <w:qFormat/>
    <w:pPr>
      <w:jc w:val="left"/>
      <w:tabs>
        <w:tab w:val="center" w:pos="4153" w:leader="none"/>
        <w:tab w:val="right" w:pos="8306" w:leader="none"/>
      </w:tabs>
    </w:pPr>
    <w:rPr>
      <w:rFonts w:ascii="Calibri" w:hAnsi="Calibri"/>
      <w:sz w:val="18"/>
      <w:szCs w:val="18"/>
    </w:rPr>
  </w:style>
  <w:style w:type="paragraph" w:styleId="913" w:customStyle="1">
    <w:name w:val="null3"/>
    <w:hidden/>
    <w:uiPriority w:val="0"/>
    <w:qFormat/>
    <w:rPr>
      <w:rFonts w:hint="eastAsia" w:asciiTheme="minorHAnsi" w:hAnsiTheme="minorHAnsi" w:eastAsiaTheme="minorEastAsia" w:cstheme="minorBidi"/>
      <w:lang w:val="en-US" w:eastAsia="zh-Hans"/>
    </w:rPr>
  </w:style>
  <w:style w:type="numbering" w:styleId="107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汤淼</cp:lastModifiedBy>
  <cp:revision>2</cp:revision>
  <dcterms:created xsi:type="dcterms:W3CDTF">2025-11-26T13:31:00Z</dcterms:created>
  <dcterms:modified xsi:type="dcterms:W3CDTF">2025-12-30T07:36:56Z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eyJoZGlkIjoiOGFlYWZiZThlNmU4OTBhZGNhZGZjNDM3YzU3MmVjMjMifQ==</vt:lpwstr>
  </property>
  <property fmtid="{D5CDD505-2E9C-101B-9397-08002B2CF9AE}" pid="4" name="ICV">
    <vt:lpwstr>5B48FAD950BC44E9A3C36703575F071C_13</vt:lpwstr>
  </property>
</Properties>
</file>